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0D08B" w14:textId="77777777" w:rsidR="007A79D6" w:rsidRDefault="007A79D6" w:rsidP="00B8713C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58AF03" w14:textId="5E1D5317" w:rsidR="00776002" w:rsidRPr="00CF74EF" w:rsidRDefault="007A79D6" w:rsidP="00B8713C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6002" w:rsidRPr="00CF74EF">
        <w:rPr>
          <w:rFonts w:ascii="Times New Roman" w:hAnsi="Times New Roman" w:cs="Times New Roman"/>
          <w:b/>
          <w:sz w:val="26"/>
          <w:szCs w:val="26"/>
        </w:rPr>
        <w:t>Утвержден</w:t>
      </w:r>
    </w:p>
    <w:p w14:paraId="7D3EFAD3" w14:textId="77777777" w:rsidR="00776002" w:rsidRPr="00CF74EF" w:rsidRDefault="00776002" w:rsidP="00B8713C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Протоколом Наблюдательного совета ФОНДА МКК БОФПМСП</w:t>
      </w:r>
    </w:p>
    <w:p w14:paraId="742970DA" w14:textId="21D3B86C" w:rsidR="00776002" w:rsidRPr="00CF74EF" w:rsidRDefault="00776002" w:rsidP="00B8713C">
      <w:pPr>
        <w:spacing w:after="0"/>
        <w:ind w:left="4820" w:firstLine="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№</w:t>
      </w:r>
      <w:r w:rsidR="00D76EA5">
        <w:rPr>
          <w:rFonts w:ascii="Times New Roman" w:hAnsi="Times New Roman" w:cs="Times New Roman"/>
          <w:b/>
          <w:sz w:val="26"/>
          <w:szCs w:val="26"/>
        </w:rPr>
        <w:t xml:space="preserve"> 254</w:t>
      </w:r>
      <w:r w:rsidRPr="00CF74EF">
        <w:rPr>
          <w:rFonts w:ascii="Times New Roman" w:hAnsi="Times New Roman" w:cs="Times New Roman"/>
          <w:b/>
          <w:sz w:val="26"/>
          <w:szCs w:val="26"/>
        </w:rPr>
        <w:t xml:space="preserve"> от «</w:t>
      </w:r>
      <w:r w:rsidR="00D76EA5">
        <w:rPr>
          <w:rFonts w:ascii="Times New Roman" w:hAnsi="Times New Roman" w:cs="Times New Roman"/>
          <w:b/>
          <w:sz w:val="26"/>
          <w:szCs w:val="26"/>
        </w:rPr>
        <w:t>01</w:t>
      </w:r>
      <w:r w:rsidR="00E03CB2" w:rsidRPr="00CF74EF">
        <w:rPr>
          <w:rFonts w:ascii="Times New Roman" w:hAnsi="Times New Roman" w:cs="Times New Roman"/>
          <w:b/>
          <w:sz w:val="26"/>
          <w:szCs w:val="26"/>
        </w:rPr>
        <w:t>»</w:t>
      </w:r>
      <w:r w:rsidR="00D76EA5">
        <w:rPr>
          <w:rFonts w:ascii="Times New Roman" w:hAnsi="Times New Roman" w:cs="Times New Roman"/>
          <w:b/>
          <w:sz w:val="26"/>
          <w:szCs w:val="26"/>
        </w:rPr>
        <w:t xml:space="preserve"> апреля </w:t>
      </w:r>
      <w:r w:rsidR="0066595F">
        <w:rPr>
          <w:rFonts w:ascii="Times New Roman" w:hAnsi="Times New Roman" w:cs="Times New Roman"/>
          <w:b/>
          <w:sz w:val="26"/>
          <w:szCs w:val="26"/>
        </w:rPr>
        <w:t>2025</w:t>
      </w:r>
      <w:r w:rsidRPr="00CF74EF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4DB534D" w14:textId="77777777" w:rsidR="00776002" w:rsidRPr="00CF74EF" w:rsidRDefault="00776002" w:rsidP="00B8713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17B7C5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F1D1B7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5072875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D537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7AB681D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C5DECC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013624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86CAA3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189499" w14:textId="77777777" w:rsidR="00776002" w:rsidRPr="00CF74EF" w:rsidRDefault="00C800DE" w:rsidP="006153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40099310" w14:textId="77777777" w:rsidR="00923AF4" w:rsidRPr="00CF74EF" w:rsidRDefault="00F45F6B" w:rsidP="0061536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г</w:t>
      </w:r>
      <w:r w:rsidR="00776002" w:rsidRPr="00CF74EF">
        <w:rPr>
          <w:rFonts w:ascii="Times New Roman" w:hAnsi="Times New Roman" w:cs="Times New Roman"/>
          <w:b/>
          <w:sz w:val="26"/>
          <w:szCs w:val="26"/>
        </w:rPr>
        <w:t xml:space="preserve">осударственного фонда развития промышленности Белгородской области </w:t>
      </w:r>
      <w:bookmarkStart w:id="0" w:name="_Hlk42181626"/>
      <w:r w:rsidR="00C800DE" w:rsidRPr="00CF74EF">
        <w:rPr>
          <w:rFonts w:ascii="Times New Roman" w:hAnsi="Times New Roman" w:cs="Times New Roman"/>
          <w:b/>
          <w:sz w:val="26"/>
          <w:szCs w:val="26"/>
        </w:rPr>
        <w:t>по</w:t>
      </w:r>
      <w:r w:rsidR="000A074B" w:rsidRPr="00CF74EF">
        <w:rPr>
          <w:rFonts w:ascii="Times New Roman" w:hAnsi="Times New Roman" w:cs="Times New Roman"/>
          <w:b/>
          <w:sz w:val="26"/>
          <w:szCs w:val="26"/>
        </w:rPr>
        <w:t xml:space="preserve"> обеспечени</w:t>
      </w:r>
      <w:r w:rsidR="00C800DE" w:rsidRPr="00CF74EF">
        <w:rPr>
          <w:rFonts w:ascii="Times New Roman" w:hAnsi="Times New Roman" w:cs="Times New Roman"/>
          <w:b/>
          <w:sz w:val="26"/>
          <w:szCs w:val="26"/>
        </w:rPr>
        <w:t>ю</w:t>
      </w:r>
      <w:r w:rsidR="000A074B" w:rsidRPr="00CF74EF">
        <w:rPr>
          <w:rFonts w:ascii="Times New Roman" w:hAnsi="Times New Roman" w:cs="Times New Roman"/>
          <w:b/>
          <w:sz w:val="26"/>
          <w:szCs w:val="26"/>
        </w:rPr>
        <w:t xml:space="preserve"> возврата займов</w:t>
      </w:r>
      <w:r w:rsidR="000A074B" w:rsidRPr="00CF74E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A074B" w:rsidRPr="00CF74EF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предоставленных </w:t>
      </w:r>
    </w:p>
    <w:p w14:paraId="4A5BB2CA" w14:textId="68081A8A" w:rsidR="00923AF4" w:rsidRPr="00CF74EF" w:rsidRDefault="00923AF4" w:rsidP="0061536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4EF">
        <w:rPr>
          <w:rFonts w:ascii="Times New Roman" w:hAnsi="Times New Roman" w:cs="Times New Roman"/>
          <w:b/>
          <w:bCs/>
          <w:sz w:val="26"/>
          <w:szCs w:val="26"/>
        </w:rPr>
        <w:t>субъектам деятельности в сфере промышленности</w:t>
      </w:r>
      <w:r w:rsidR="0010725F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bookmarkEnd w:id="0"/>
    <w:p w14:paraId="3AE6D164" w14:textId="67817AF0" w:rsidR="000A074B" w:rsidRPr="00CF74EF" w:rsidRDefault="0010725F" w:rsidP="006153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предъявляемым к качеству и достаточности обеспечения</w:t>
      </w:r>
      <w:r w:rsidR="005B776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19B5B6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5CD7D1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D03873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129793" w14:textId="77777777" w:rsidR="00776002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7F9151" w14:textId="77777777" w:rsidR="0010725F" w:rsidRPr="00CF74EF" w:rsidRDefault="0010725F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26C6A6" w14:textId="77777777" w:rsidR="00776002" w:rsidRPr="00CF74EF" w:rsidRDefault="00776002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9F8AFF" w14:textId="77777777" w:rsidR="00114FC6" w:rsidRPr="00CF74EF" w:rsidRDefault="00114FC6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4376B" w14:textId="77777777" w:rsidR="00114FC6" w:rsidRPr="00CF74EF" w:rsidRDefault="00114FC6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EFB76" w14:textId="77777777" w:rsidR="00114FC6" w:rsidRPr="00CF74EF" w:rsidRDefault="00114FC6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318D73" w14:textId="77777777" w:rsidR="00A875E0" w:rsidRPr="00CF74EF" w:rsidRDefault="00A875E0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0C355D" w14:textId="77777777" w:rsidR="00A875E0" w:rsidRDefault="00A875E0" w:rsidP="0077600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05BE7F" w14:textId="77777777" w:rsidR="00B44833" w:rsidRDefault="00B44833" w:rsidP="00B448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C5D273" w14:textId="77777777" w:rsidR="00B44833" w:rsidRPr="00CF74EF" w:rsidRDefault="00B44833" w:rsidP="00B448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6820A8" w14:textId="77777777" w:rsidR="00114FC6" w:rsidRPr="00CF74EF" w:rsidRDefault="00776002" w:rsidP="00B448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г. Белгород,</w:t>
      </w:r>
    </w:p>
    <w:p w14:paraId="40B987DA" w14:textId="6D83EC0C" w:rsidR="00776002" w:rsidRPr="00CF74EF" w:rsidRDefault="00776002" w:rsidP="00B4483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202</w:t>
      </w:r>
      <w:r w:rsidR="0010725F">
        <w:rPr>
          <w:rFonts w:ascii="Times New Roman" w:hAnsi="Times New Roman" w:cs="Times New Roman"/>
          <w:b/>
          <w:sz w:val="26"/>
          <w:szCs w:val="26"/>
        </w:rPr>
        <w:t>5</w:t>
      </w:r>
      <w:r w:rsidRPr="00CF74EF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D4CF63B" w14:textId="52EB1331" w:rsidR="00822B27" w:rsidRDefault="000A10ED" w:rsidP="00B44833">
      <w:pPr>
        <w:pStyle w:val="1"/>
        <w:pageBreakBefore/>
        <w:numPr>
          <w:ilvl w:val="0"/>
          <w:numId w:val="38"/>
        </w:numPr>
        <w:tabs>
          <w:tab w:val="left" w:pos="426"/>
        </w:tabs>
        <w:spacing w:before="0" w:after="0"/>
        <w:jc w:val="center"/>
        <w:rPr>
          <w:sz w:val="26"/>
          <w:szCs w:val="26"/>
        </w:rPr>
      </w:pPr>
      <w:bookmarkStart w:id="1" w:name="__RefHeading__1241_1332202174"/>
      <w:bookmarkStart w:id="2" w:name="_Toc469307005"/>
      <w:r w:rsidRPr="00CF74EF">
        <w:rPr>
          <w:sz w:val="26"/>
          <w:szCs w:val="26"/>
        </w:rPr>
        <w:lastRenderedPageBreak/>
        <w:t>Введение</w:t>
      </w:r>
      <w:bookmarkEnd w:id="1"/>
      <w:bookmarkEnd w:id="2"/>
    </w:p>
    <w:p w14:paraId="0DC82975" w14:textId="77777777" w:rsidR="00B44833" w:rsidRPr="00B44833" w:rsidRDefault="00B44833" w:rsidP="00B44833">
      <w:pPr>
        <w:pStyle w:val="Textbody"/>
        <w:rPr>
          <w:lang w:eastAsia="ru-RU"/>
        </w:rPr>
      </w:pPr>
    </w:p>
    <w:p w14:paraId="4C8F0203" w14:textId="360F86F8" w:rsidR="00822B27" w:rsidRPr="00CF74EF" w:rsidRDefault="000D5938" w:rsidP="0011374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1.1.</w:t>
      </w:r>
      <w:r w:rsidR="009A6E7F" w:rsidRPr="00CF74EF">
        <w:rPr>
          <w:sz w:val="26"/>
          <w:szCs w:val="26"/>
        </w:rPr>
        <w:t> </w:t>
      </w:r>
      <w:r w:rsidR="000A10ED" w:rsidRPr="00B44833">
        <w:rPr>
          <w:sz w:val="26"/>
          <w:szCs w:val="26"/>
        </w:rPr>
        <w:t xml:space="preserve">Настоящий </w:t>
      </w:r>
      <w:r w:rsidR="00914704" w:rsidRPr="00B44833">
        <w:rPr>
          <w:sz w:val="26"/>
          <w:szCs w:val="26"/>
        </w:rPr>
        <w:t>Порядок</w:t>
      </w:r>
      <w:r w:rsidR="000A10ED" w:rsidRPr="00B44833">
        <w:rPr>
          <w:sz w:val="26"/>
          <w:szCs w:val="26"/>
        </w:rPr>
        <w:t xml:space="preserve"> </w:t>
      </w:r>
      <w:r w:rsidR="00A063FD" w:rsidRPr="00B44833">
        <w:rPr>
          <w:sz w:val="26"/>
          <w:szCs w:val="26"/>
        </w:rPr>
        <w:t>г</w:t>
      </w:r>
      <w:r w:rsidR="000773C6" w:rsidRPr="00B44833">
        <w:rPr>
          <w:sz w:val="26"/>
          <w:szCs w:val="26"/>
        </w:rPr>
        <w:t xml:space="preserve">осударственного фонда развития промышленности Белгородской области </w:t>
      </w:r>
      <w:r w:rsidR="00A063FD" w:rsidRPr="00B44833">
        <w:rPr>
          <w:sz w:val="26"/>
          <w:szCs w:val="26"/>
        </w:rPr>
        <w:t xml:space="preserve">по </w:t>
      </w:r>
      <w:r w:rsidR="000773C6" w:rsidRPr="00B44833">
        <w:rPr>
          <w:sz w:val="26"/>
          <w:szCs w:val="26"/>
        </w:rPr>
        <w:t>обеспечени</w:t>
      </w:r>
      <w:r w:rsidR="00A063FD" w:rsidRPr="00B44833">
        <w:rPr>
          <w:sz w:val="26"/>
          <w:szCs w:val="26"/>
        </w:rPr>
        <w:t>ю</w:t>
      </w:r>
      <w:r w:rsidR="000773C6" w:rsidRPr="00B44833">
        <w:rPr>
          <w:sz w:val="26"/>
          <w:szCs w:val="26"/>
        </w:rPr>
        <w:t xml:space="preserve"> возврата займов, предоставленных </w:t>
      </w:r>
      <w:r w:rsidR="00D559FA" w:rsidRPr="00B44833">
        <w:rPr>
          <w:sz w:val="26"/>
          <w:szCs w:val="26"/>
        </w:rPr>
        <w:t>субъектам деятельности в сфере промышленности</w:t>
      </w:r>
      <w:r w:rsidR="0010725F" w:rsidRPr="00B44833">
        <w:rPr>
          <w:sz w:val="26"/>
          <w:szCs w:val="26"/>
        </w:rPr>
        <w:t>, предъявляемым к качеству и достаточности обеспечения</w:t>
      </w:r>
      <w:r w:rsidR="00D559FA" w:rsidRPr="00B44833">
        <w:rPr>
          <w:sz w:val="26"/>
          <w:szCs w:val="26"/>
        </w:rPr>
        <w:t xml:space="preserve"> </w:t>
      </w:r>
      <w:r w:rsidR="000773C6" w:rsidRPr="00B44833">
        <w:rPr>
          <w:sz w:val="26"/>
          <w:szCs w:val="26"/>
        </w:rPr>
        <w:t>(далее</w:t>
      </w:r>
      <w:r w:rsidR="009A6E7F" w:rsidRPr="00B44833">
        <w:rPr>
          <w:sz w:val="26"/>
          <w:szCs w:val="26"/>
        </w:rPr>
        <w:t xml:space="preserve"> – </w:t>
      </w:r>
      <w:r w:rsidR="000773C6" w:rsidRPr="00B44833">
        <w:rPr>
          <w:sz w:val="26"/>
          <w:szCs w:val="26"/>
        </w:rPr>
        <w:t xml:space="preserve">Порядок) </w:t>
      </w:r>
      <w:r w:rsidR="000A10ED" w:rsidRPr="00B44833">
        <w:rPr>
          <w:sz w:val="26"/>
          <w:szCs w:val="26"/>
        </w:rPr>
        <w:t xml:space="preserve">устанавливает требования </w:t>
      </w:r>
      <w:r w:rsidR="00FA20BC" w:rsidRPr="00B44833">
        <w:rPr>
          <w:sz w:val="26"/>
          <w:szCs w:val="26"/>
        </w:rPr>
        <w:t>г</w:t>
      </w:r>
      <w:r w:rsidR="00E45DA8" w:rsidRPr="00B44833">
        <w:rPr>
          <w:sz w:val="26"/>
          <w:szCs w:val="26"/>
        </w:rPr>
        <w:t>осударственн</w:t>
      </w:r>
      <w:r w:rsidR="00F04B33" w:rsidRPr="00B44833">
        <w:rPr>
          <w:sz w:val="26"/>
          <w:szCs w:val="26"/>
        </w:rPr>
        <w:t xml:space="preserve">ого </w:t>
      </w:r>
      <w:r w:rsidR="00E45DA8" w:rsidRPr="00B44833">
        <w:rPr>
          <w:sz w:val="26"/>
          <w:szCs w:val="26"/>
        </w:rPr>
        <w:t>фонд</w:t>
      </w:r>
      <w:r w:rsidR="00F04B33" w:rsidRPr="00B44833">
        <w:rPr>
          <w:sz w:val="26"/>
          <w:szCs w:val="26"/>
        </w:rPr>
        <w:t>а</w:t>
      </w:r>
      <w:r w:rsidR="00E45DA8" w:rsidRPr="00B44833">
        <w:rPr>
          <w:sz w:val="26"/>
          <w:szCs w:val="26"/>
        </w:rPr>
        <w:t xml:space="preserve"> развития промышленности </w:t>
      </w:r>
      <w:r w:rsidR="00F04B33" w:rsidRPr="00B44833">
        <w:rPr>
          <w:sz w:val="26"/>
          <w:szCs w:val="26"/>
        </w:rPr>
        <w:t>Белгородской</w:t>
      </w:r>
      <w:r w:rsidR="00E45DA8" w:rsidRPr="00B44833">
        <w:rPr>
          <w:sz w:val="26"/>
          <w:szCs w:val="26"/>
        </w:rPr>
        <w:t xml:space="preserve"> области</w:t>
      </w:r>
      <w:r w:rsidR="00B347E2" w:rsidRPr="00B44833">
        <w:rPr>
          <w:sz w:val="26"/>
          <w:szCs w:val="26"/>
        </w:rPr>
        <w:t xml:space="preserve"> </w:t>
      </w:r>
      <w:r w:rsidR="00E45DA8" w:rsidRPr="00B44833">
        <w:rPr>
          <w:sz w:val="26"/>
          <w:szCs w:val="26"/>
        </w:rPr>
        <w:t xml:space="preserve">(далее – </w:t>
      </w:r>
      <w:r w:rsidR="00F04B33" w:rsidRPr="00B44833">
        <w:rPr>
          <w:sz w:val="26"/>
          <w:szCs w:val="26"/>
        </w:rPr>
        <w:t>РФРП</w:t>
      </w:r>
      <w:r w:rsidR="00E45DA8" w:rsidRPr="00B44833">
        <w:rPr>
          <w:sz w:val="26"/>
          <w:szCs w:val="26"/>
        </w:rPr>
        <w:t xml:space="preserve">) </w:t>
      </w:r>
      <w:r w:rsidR="000A10ED" w:rsidRPr="00B44833">
        <w:rPr>
          <w:sz w:val="26"/>
          <w:szCs w:val="26"/>
        </w:rPr>
        <w:t xml:space="preserve">к обеспечению возврата средств, предоставленных </w:t>
      </w:r>
      <w:r w:rsidR="001B610C" w:rsidRPr="00B44833">
        <w:rPr>
          <w:sz w:val="26"/>
          <w:szCs w:val="26"/>
        </w:rPr>
        <w:t xml:space="preserve">субъектам </w:t>
      </w:r>
      <w:r w:rsidR="009C2EA5" w:rsidRPr="00B44833">
        <w:rPr>
          <w:sz w:val="26"/>
          <w:szCs w:val="26"/>
        </w:rPr>
        <w:t xml:space="preserve">деятельности в сфере </w:t>
      </w:r>
      <w:r w:rsidR="001B610C" w:rsidRPr="00B44833">
        <w:rPr>
          <w:sz w:val="26"/>
          <w:szCs w:val="26"/>
        </w:rPr>
        <w:t xml:space="preserve">промышленности </w:t>
      </w:r>
      <w:r w:rsidR="009A6E7F" w:rsidRPr="00B44833">
        <w:rPr>
          <w:sz w:val="26"/>
          <w:szCs w:val="26"/>
        </w:rPr>
        <w:t xml:space="preserve">на территории </w:t>
      </w:r>
      <w:r w:rsidR="001B610C" w:rsidRPr="00B44833">
        <w:rPr>
          <w:sz w:val="26"/>
          <w:szCs w:val="26"/>
        </w:rPr>
        <w:t xml:space="preserve">Белгородской области </w:t>
      </w:r>
      <w:r w:rsidR="000A10ED" w:rsidRPr="00B44833">
        <w:rPr>
          <w:sz w:val="26"/>
          <w:szCs w:val="26"/>
        </w:rPr>
        <w:t xml:space="preserve">в соответствии с договорами </w:t>
      </w:r>
      <w:r w:rsidR="00E80607" w:rsidRPr="00B44833">
        <w:rPr>
          <w:sz w:val="26"/>
          <w:szCs w:val="26"/>
        </w:rPr>
        <w:t>з</w:t>
      </w:r>
      <w:r w:rsidR="000A10ED" w:rsidRPr="00B44833">
        <w:rPr>
          <w:sz w:val="26"/>
          <w:szCs w:val="26"/>
        </w:rPr>
        <w:t>айма</w:t>
      </w:r>
      <w:r w:rsidR="00113743" w:rsidRPr="00B44833">
        <w:rPr>
          <w:sz w:val="26"/>
          <w:szCs w:val="26"/>
        </w:rPr>
        <w:t>,</w:t>
      </w:r>
      <w:r w:rsidR="00A74FFB" w:rsidRPr="00B44833">
        <w:rPr>
          <w:sz w:val="26"/>
          <w:szCs w:val="26"/>
        </w:rPr>
        <w:t xml:space="preserve"> </w:t>
      </w:r>
      <w:r w:rsidR="00F86AF1" w:rsidRPr="00B44833">
        <w:rPr>
          <w:sz w:val="26"/>
          <w:szCs w:val="26"/>
        </w:rPr>
        <w:t>в рамках</w:t>
      </w:r>
      <w:r w:rsidR="00113743" w:rsidRPr="00B44833">
        <w:rPr>
          <w:sz w:val="26"/>
          <w:szCs w:val="26"/>
        </w:rPr>
        <w:t xml:space="preserve"> Стандартов </w:t>
      </w:r>
      <w:r w:rsidR="00BC3B8A" w:rsidRPr="00B44833">
        <w:rPr>
          <w:sz w:val="26"/>
          <w:szCs w:val="26"/>
        </w:rPr>
        <w:t xml:space="preserve">государственного фонда развития промышленности Белгородской области  «Условия и порядок предоставления финансовой поддержки в форме займов на реализацию инвестиционных проектов субъектов деятельности в сфере промышленности на территории Белгородской области» на реализацию мероприятий «Финансовое обеспечение деятельности (докапитализация) </w:t>
      </w:r>
      <w:proofErr w:type="spellStart"/>
      <w:r w:rsidR="00BC3B8A" w:rsidRPr="00B44833">
        <w:rPr>
          <w:sz w:val="26"/>
          <w:szCs w:val="26"/>
        </w:rPr>
        <w:t>Микрокредитной</w:t>
      </w:r>
      <w:proofErr w:type="spellEnd"/>
      <w:r w:rsidR="00BC3B8A" w:rsidRPr="00B44833">
        <w:rPr>
          <w:sz w:val="26"/>
          <w:szCs w:val="26"/>
        </w:rPr>
        <w:t xml:space="preserve"> компании Белгородский областной фонд поддержки малого и среднего предпринимательства в 2023 году», утвержденного постановлением Правительства Белгородской области от 19 июня 2023 года № 320-пп "О внесении изменений в постановление Правительства Белгородской области от 26 декабря 2022 года № 774-пп и «Условия и Порядок предоставления поддержки в виде займов в целях финансового обеспечения пострадавшим субъектам деятельности в сфере промышленности затрат на поддержание производства» в соответствии с </w:t>
      </w:r>
      <w:r w:rsidR="00A95070" w:rsidRPr="00B44833">
        <w:rPr>
          <w:sz w:val="26"/>
          <w:szCs w:val="26"/>
        </w:rPr>
        <w:t xml:space="preserve">Порядком о  предоставлении субсидии из областного бюджета на докапитализацию  </w:t>
      </w:r>
      <w:proofErr w:type="spellStart"/>
      <w:r w:rsidR="00A95070" w:rsidRPr="00B44833">
        <w:rPr>
          <w:sz w:val="26"/>
          <w:szCs w:val="26"/>
        </w:rPr>
        <w:t>Микрокредитной</w:t>
      </w:r>
      <w:proofErr w:type="spellEnd"/>
      <w:r w:rsidR="00A95070" w:rsidRPr="00B44833">
        <w:rPr>
          <w:sz w:val="26"/>
          <w:szCs w:val="26"/>
        </w:rPr>
        <w:t xml:space="preserve"> компании Белгородский областной фонд поддержки малого и среднего предпринимательства в целях финансового обеспечения и (или) возмещения пострадавшим субъектам деятельности в сфере промышленности затрат на восстановление, поддержание и (или) перемещение производства и (или) обеспечение антитеррористической защищенности </w:t>
      </w:r>
      <w:r w:rsidR="00BC3B8A" w:rsidRPr="00B44833">
        <w:rPr>
          <w:sz w:val="26"/>
          <w:szCs w:val="26"/>
        </w:rPr>
        <w:t>утвержденным Постановлением  Правительства Белгородской области от 31.03.2025 №145-пп.</w:t>
      </w:r>
      <w:r w:rsidR="00113743" w:rsidRPr="005B776E">
        <w:rPr>
          <w:sz w:val="26"/>
          <w:szCs w:val="26"/>
        </w:rPr>
        <w:t xml:space="preserve"> </w:t>
      </w:r>
    </w:p>
    <w:p w14:paraId="254CF8FF" w14:textId="77777777" w:rsidR="008C26CA" w:rsidRPr="00CF74EF" w:rsidRDefault="009A6E7F" w:rsidP="008C26CA">
      <w:pPr>
        <w:pStyle w:val="2"/>
        <w:tabs>
          <w:tab w:val="clear" w:pos="397"/>
          <w:tab w:val="left" w:pos="851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1.2. </w:t>
      </w:r>
      <w:r w:rsidR="00E336C7" w:rsidRPr="00CF74EF">
        <w:rPr>
          <w:sz w:val="26"/>
          <w:szCs w:val="26"/>
        </w:rPr>
        <w:t xml:space="preserve">Порядок </w:t>
      </w:r>
      <w:r w:rsidR="000A10ED" w:rsidRPr="00CF74EF">
        <w:rPr>
          <w:sz w:val="26"/>
          <w:szCs w:val="26"/>
        </w:rPr>
        <w:t xml:space="preserve">разработан с целью достижения эффективности использования и гарантирования возвратности полученных </w:t>
      </w:r>
      <w:r w:rsidR="00D528E1" w:rsidRPr="00CF74EF">
        <w:rPr>
          <w:sz w:val="26"/>
          <w:szCs w:val="26"/>
        </w:rPr>
        <w:t>РФРП</w:t>
      </w:r>
      <w:r w:rsidR="000A10ED" w:rsidRPr="00CF74EF">
        <w:rPr>
          <w:sz w:val="26"/>
          <w:szCs w:val="26"/>
        </w:rPr>
        <w:t xml:space="preserve"> бюджетных средств</w:t>
      </w:r>
      <w:r w:rsidR="00FA20BC" w:rsidRPr="00CF74EF">
        <w:rPr>
          <w:sz w:val="26"/>
          <w:szCs w:val="26"/>
        </w:rPr>
        <w:t xml:space="preserve"> в рамках регионального порядка</w:t>
      </w:r>
      <w:r w:rsidR="000A10ED" w:rsidRPr="00CF74EF">
        <w:rPr>
          <w:sz w:val="26"/>
          <w:szCs w:val="26"/>
        </w:rPr>
        <w:t>.</w:t>
      </w:r>
      <w:r w:rsidR="000A10ED" w:rsidRPr="00CF74EF">
        <w:rPr>
          <w:rFonts w:eastAsia="Calibri"/>
          <w:sz w:val="26"/>
          <w:szCs w:val="26"/>
        </w:rPr>
        <w:t xml:space="preserve"> О</w:t>
      </w:r>
      <w:r w:rsidR="000A10ED" w:rsidRPr="00CF74EF">
        <w:rPr>
          <w:sz w:val="26"/>
          <w:szCs w:val="26"/>
        </w:rPr>
        <w:t xml:space="preserve">беспечение позволяет минимизировать финансовые риски, связанные с невозвратом Заемщиком </w:t>
      </w:r>
      <w:r w:rsidR="00FA20BC" w:rsidRPr="00CF74EF">
        <w:rPr>
          <w:sz w:val="26"/>
          <w:szCs w:val="26"/>
        </w:rPr>
        <w:t>предоставленного</w:t>
      </w:r>
      <w:r w:rsidR="000A10ED" w:rsidRPr="00CF74EF">
        <w:rPr>
          <w:sz w:val="26"/>
          <w:szCs w:val="26"/>
        </w:rPr>
        <w:t xml:space="preserve"> Займа.</w:t>
      </w:r>
      <w:bookmarkStart w:id="3" w:name="__RefHeading__1243_1332202174"/>
      <w:bookmarkStart w:id="4" w:name="_Toc469307006"/>
    </w:p>
    <w:p w14:paraId="14F90231" w14:textId="77777777" w:rsidR="00822B27" w:rsidRPr="00CF74EF" w:rsidRDefault="008C26CA" w:rsidP="008C26CA">
      <w:pPr>
        <w:pStyle w:val="2"/>
        <w:tabs>
          <w:tab w:val="left" w:pos="851"/>
          <w:tab w:val="left" w:pos="1134"/>
        </w:tabs>
        <w:spacing w:before="0"/>
        <w:ind w:firstLine="0"/>
        <w:jc w:val="center"/>
        <w:rPr>
          <w:b/>
          <w:sz w:val="26"/>
          <w:szCs w:val="26"/>
        </w:rPr>
      </w:pPr>
      <w:r w:rsidRPr="00CF74EF">
        <w:rPr>
          <w:b/>
          <w:sz w:val="26"/>
          <w:szCs w:val="26"/>
        </w:rPr>
        <w:t>2. </w:t>
      </w:r>
      <w:r w:rsidR="000A10ED" w:rsidRPr="00CF74EF">
        <w:rPr>
          <w:b/>
          <w:sz w:val="26"/>
          <w:szCs w:val="26"/>
        </w:rPr>
        <w:t>Основные термины и определения</w:t>
      </w:r>
      <w:bookmarkEnd w:id="3"/>
      <w:bookmarkEnd w:id="4"/>
      <w:r w:rsidR="00556AF2" w:rsidRPr="00CF74EF">
        <w:rPr>
          <w:b/>
          <w:sz w:val="26"/>
          <w:szCs w:val="26"/>
        </w:rPr>
        <w:t>, применяемые в Стандарте</w:t>
      </w:r>
    </w:p>
    <w:p w14:paraId="2FD5C414" w14:textId="77777777" w:rsidR="000B5F1E" w:rsidRPr="00CF74EF" w:rsidRDefault="000B5F1E" w:rsidP="000B5F1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 xml:space="preserve">РФРП – </w:t>
      </w:r>
      <w:proofErr w:type="spellStart"/>
      <w:r w:rsidRPr="00CF74EF">
        <w:rPr>
          <w:rFonts w:ascii="Times New Roman" w:hAnsi="Times New Roman" w:cs="Times New Roman"/>
          <w:sz w:val="26"/>
          <w:szCs w:val="26"/>
        </w:rPr>
        <w:t>Микрокредитная</w:t>
      </w:r>
      <w:proofErr w:type="spellEnd"/>
      <w:r w:rsidRPr="00CF74EF">
        <w:rPr>
          <w:rFonts w:ascii="Times New Roman" w:hAnsi="Times New Roman" w:cs="Times New Roman"/>
          <w:sz w:val="26"/>
          <w:szCs w:val="26"/>
        </w:rPr>
        <w:t xml:space="preserve"> компания Белгородский областной фонд поддержки малого и среднего предпринимательства, наделенная в соответствии с постановлением Правительства Белгородской области от 6 февраля 2017 года №36-пп «О наделении </w:t>
      </w:r>
      <w:proofErr w:type="spellStart"/>
      <w:r w:rsidRPr="00CF74EF">
        <w:rPr>
          <w:rFonts w:ascii="Times New Roman" w:hAnsi="Times New Roman" w:cs="Times New Roman"/>
          <w:sz w:val="26"/>
          <w:szCs w:val="26"/>
        </w:rPr>
        <w:t>Микрокредитной</w:t>
      </w:r>
      <w:proofErr w:type="spellEnd"/>
      <w:r w:rsidRPr="00CF74EF">
        <w:rPr>
          <w:rFonts w:ascii="Times New Roman" w:hAnsi="Times New Roman" w:cs="Times New Roman"/>
          <w:sz w:val="26"/>
          <w:szCs w:val="26"/>
        </w:rPr>
        <w:t xml:space="preserve">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области» полномочиями государственного фонда развития промышленности Белгородской области.</w:t>
      </w:r>
    </w:p>
    <w:p w14:paraId="36D00889" w14:textId="77777777" w:rsidR="000B5F1E" w:rsidRPr="00CF74EF" w:rsidRDefault="000B5F1E" w:rsidP="000B5F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/>
          <w:bCs/>
          <w:sz w:val="26"/>
          <w:szCs w:val="26"/>
        </w:rPr>
        <w:t>Субъект деятельности в сфере промышленности, Субъект промышленности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– юридическое лицо или индивидуальный предприниматель, осуществляющее (осуществляющий) деятельность в сфере промышленности на территории Белгородской области и уплачивающее (уплачивающий) налоги в бюджет Белгородской области.</w:t>
      </w:r>
    </w:p>
    <w:p w14:paraId="65E43E5E" w14:textId="77777777" w:rsidR="00477027" w:rsidRPr="00CF74EF" w:rsidRDefault="00477027" w:rsidP="00477027">
      <w:pPr>
        <w:widowControl/>
        <w:suppressAutoHyphens w:val="0"/>
        <w:autoSpaceDE w:val="0"/>
        <w:adjustRightInd w:val="0"/>
        <w:spacing w:after="0"/>
        <w:ind w:firstLine="709"/>
        <w:textAlignment w:val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>Заемщик</w:t>
      </w:r>
      <w:r w:rsidRPr="00CF74EF">
        <w:rPr>
          <w:rFonts w:ascii="Times New Roman" w:hAnsi="Times New Roman" w:cs="Times New Roman"/>
          <w:sz w:val="26"/>
          <w:szCs w:val="26"/>
        </w:rPr>
        <w:t xml:space="preserve"> – </w:t>
      </w:r>
      <w:r w:rsidRPr="00CF74EF">
        <w:rPr>
          <w:rFonts w:ascii="Times New Roman" w:hAnsi="Times New Roman" w:cs="Times New Roman"/>
          <w:sz w:val="26"/>
          <w:szCs w:val="26"/>
          <w:lang w:eastAsia="ru-RU"/>
        </w:rPr>
        <w:t>Субъект промышленности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заключивший с РФРП договор займа.</w:t>
      </w:r>
    </w:p>
    <w:p w14:paraId="00398ABF" w14:textId="77777777" w:rsidR="003923C2" w:rsidRPr="00CF74EF" w:rsidRDefault="003923C2" w:rsidP="008C26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Гарант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Pr="00CF7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юридическое лицо, обязавшееся 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уплатить </w:t>
      </w:r>
      <w:r w:rsidR="00D528E1" w:rsidRPr="00CF74EF">
        <w:rPr>
          <w:rFonts w:ascii="Times New Roman" w:hAnsi="Times New Roman" w:cs="Times New Roman"/>
          <w:bCs/>
          <w:sz w:val="26"/>
          <w:szCs w:val="26"/>
        </w:rPr>
        <w:t>РФРП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определенную денежную сумму в со</w:t>
      </w:r>
      <w:r w:rsidR="00105CA1" w:rsidRPr="00CF74EF">
        <w:rPr>
          <w:rFonts w:ascii="Times New Roman" w:hAnsi="Times New Roman" w:cs="Times New Roman"/>
          <w:bCs/>
          <w:sz w:val="26"/>
          <w:szCs w:val="26"/>
        </w:rPr>
        <w:t>ответствии с условиями гарантии в соответствии с требованиями договора</w:t>
      </w:r>
      <w:r w:rsidRPr="00CF74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3A8C78C2" w14:textId="0F63DD41" w:rsidR="00232AB5" w:rsidRPr="00CF74EF" w:rsidRDefault="00232AB5" w:rsidP="008C26CA">
      <w:pPr>
        <w:pStyle w:val="Textbody"/>
        <w:spacing w:after="0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CF74E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Достаточность обеспечения </w:t>
      </w:r>
      <w:r w:rsidRPr="00CF74EF">
        <w:rPr>
          <w:rFonts w:ascii="Times New Roman" w:hAnsi="Times New Roman" w:cs="Times New Roman"/>
          <w:sz w:val="26"/>
          <w:szCs w:val="26"/>
          <w:lang w:eastAsia="ru-RU"/>
        </w:rPr>
        <w:t xml:space="preserve">– отношение суммы залоговой стоимости </w:t>
      </w:r>
      <w:r w:rsidR="005870EB" w:rsidRPr="00CF74EF">
        <w:rPr>
          <w:rFonts w:ascii="Times New Roman" w:hAnsi="Times New Roman" w:cs="Times New Roman"/>
          <w:sz w:val="26"/>
          <w:szCs w:val="26"/>
          <w:lang w:eastAsia="ru-RU"/>
        </w:rPr>
        <w:t>и (или)</w:t>
      </w:r>
      <w:r w:rsidRPr="00CF74EF">
        <w:rPr>
          <w:rFonts w:ascii="Times New Roman" w:hAnsi="Times New Roman" w:cs="Times New Roman"/>
          <w:sz w:val="26"/>
          <w:szCs w:val="26"/>
          <w:lang w:eastAsia="ru-RU"/>
        </w:rPr>
        <w:t xml:space="preserve"> объема гарантированных обязательств по независимой гарантии (поручительству), принимаемых в качестве обеспечения, к размеру основного долга.</w:t>
      </w:r>
    </w:p>
    <w:p w14:paraId="3A018D3C" w14:textId="2C24EDA7" w:rsidR="00822B27" w:rsidRPr="00CF74EF" w:rsidRDefault="000A10ED" w:rsidP="008C26CA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b/>
          <w:sz w:val="26"/>
          <w:szCs w:val="26"/>
        </w:rPr>
        <w:t>Заем</w:t>
      </w:r>
      <w:r w:rsidRPr="00CF74EF">
        <w:rPr>
          <w:sz w:val="26"/>
          <w:szCs w:val="26"/>
        </w:rPr>
        <w:t xml:space="preserve"> – целевой заем, предоставленный </w:t>
      </w:r>
      <w:r w:rsidR="00EC78A6" w:rsidRPr="00CF74EF">
        <w:rPr>
          <w:sz w:val="26"/>
          <w:szCs w:val="26"/>
        </w:rPr>
        <w:t xml:space="preserve">РФРП </w:t>
      </w:r>
      <w:r w:rsidR="000B5F1E" w:rsidRPr="00CF74EF">
        <w:rPr>
          <w:sz w:val="26"/>
          <w:szCs w:val="26"/>
        </w:rPr>
        <w:t>С</w:t>
      </w:r>
      <w:r w:rsidR="00EC78A6" w:rsidRPr="00CF74EF">
        <w:rPr>
          <w:sz w:val="26"/>
          <w:szCs w:val="26"/>
        </w:rPr>
        <w:t>убъекту промышленности</w:t>
      </w:r>
      <w:r w:rsidRPr="00CF74EF">
        <w:rPr>
          <w:sz w:val="26"/>
          <w:szCs w:val="26"/>
        </w:rPr>
        <w:t>.</w:t>
      </w:r>
    </w:p>
    <w:p w14:paraId="68940818" w14:textId="77777777" w:rsidR="00822B27" w:rsidRPr="00CF74EF" w:rsidRDefault="000A10ED" w:rsidP="008C2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Залогодатель 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A7279"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>аемщик или третье лицо, которому принадлежит имущество, предоставленное в качестве залога в обеспечение обязательств по договору Займа.</w:t>
      </w:r>
    </w:p>
    <w:p w14:paraId="12075DA2" w14:textId="77777777" w:rsidR="00822B27" w:rsidRPr="00CF74EF" w:rsidRDefault="000A10ED" w:rsidP="008C26C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Залоговая стоимость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стоимость предмета залога, согласованная сто</w:t>
      </w:r>
      <w:r w:rsidR="00226C4E"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ронами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признаваемая ценой реализации (начальной продажной ценой) предмета залога при обращении на него взыскания.</w:t>
      </w:r>
    </w:p>
    <w:p w14:paraId="3F9FCC52" w14:textId="77777777" w:rsidR="00C131D0" w:rsidRPr="00CF74EF" w:rsidRDefault="00C131D0" w:rsidP="008C26CA">
      <w:pPr>
        <w:widowControl/>
        <w:suppressAutoHyphens w:val="0"/>
        <w:autoSpaceDE w:val="0"/>
        <w:adjustRightInd w:val="0"/>
        <w:spacing w:after="0"/>
        <w:ind w:firstLine="709"/>
        <w:textAlignment w:val="auto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b/>
          <w:bCs/>
          <w:kern w:val="0"/>
          <w:sz w:val="26"/>
          <w:szCs w:val="26"/>
          <w:lang w:eastAsia="ru-RU"/>
        </w:rPr>
        <w:t xml:space="preserve">Качество обеспечения </w:t>
      </w:r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– соответствие его требованиям, установленным для конкретного вида обеспечения в отношении устойчивости финансового состояния лица, предоставившего обеспечение, условий поручительства/гарантии</w:t>
      </w:r>
      <w:r w:rsidR="005A7279"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(</w:t>
      </w:r>
      <w:proofErr w:type="spellStart"/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безотзывность</w:t>
      </w:r>
      <w:proofErr w:type="spellEnd"/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, солидарность, срок и иные существенные условия), наличия</w:t>
      </w:r>
      <w:r w:rsidR="005A7279"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обременений и прав третьих лиц в отношении имущества, предоставленного</w:t>
      </w:r>
      <w:r w:rsidR="005A7279"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Pr="00CF74EF">
        <w:rPr>
          <w:rFonts w:ascii="Times New Roman" w:hAnsi="Times New Roman" w:cs="Times New Roman"/>
          <w:kern w:val="0"/>
          <w:sz w:val="26"/>
          <w:szCs w:val="26"/>
          <w:lang w:eastAsia="ru-RU"/>
        </w:rPr>
        <w:t>в обеспечение, ликвидность.</w:t>
      </w:r>
    </w:p>
    <w:p w14:paraId="706E2FAA" w14:textId="29F2ED2C" w:rsidR="003923C2" w:rsidRPr="00CF74EF" w:rsidRDefault="003923C2" w:rsidP="008C26CA">
      <w:pPr>
        <w:pStyle w:val="Standard"/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Обеспечение 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– установленные законодательством </w:t>
      </w:r>
      <w:r w:rsidR="003A740A" w:rsidRPr="00CF74EF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способы обеспечения исполнения обязательств Заемщика по договору займа, предоставленного </w:t>
      </w:r>
      <w:r w:rsidR="003A740A" w:rsidRPr="00CF74EF">
        <w:rPr>
          <w:rFonts w:ascii="Times New Roman" w:hAnsi="Times New Roman" w:cs="Times New Roman"/>
          <w:bCs/>
          <w:sz w:val="26"/>
          <w:szCs w:val="26"/>
        </w:rPr>
        <w:t>РФРП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в качестве </w:t>
      </w:r>
      <w:r w:rsidRPr="005B776E">
        <w:rPr>
          <w:rFonts w:ascii="Times New Roman" w:hAnsi="Times New Roman" w:cs="Times New Roman"/>
          <w:bCs/>
          <w:sz w:val="26"/>
          <w:szCs w:val="26"/>
        </w:rPr>
        <w:t>финанс</w:t>
      </w:r>
      <w:r w:rsidR="005B776E" w:rsidRPr="005B776E">
        <w:rPr>
          <w:rFonts w:ascii="Times New Roman" w:hAnsi="Times New Roman" w:cs="Times New Roman"/>
          <w:bCs/>
          <w:sz w:val="26"/>
          <w:szCs w:val="26"/>
        </w:rPr>
        <w:t>овой</w:t>
      </w: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2D9A" w:rsidRPr="005B776E">
        <w:rPr>
          <w:rFonts w:ascii="Times New Roman" w:hAnsi="Times New Roman" w:cs="Times New Roman"/>
          <w:bCs/>
          <w:sz w:val="26"/>
          <w:szCs w:val="26"/>
        </w:rPr>
        <w:t>поддержки</w:t>
      </w:r>
      <w:r w:rsidRPr="005B776E">
        <w:rPr>
          <w:rFonts w:ascii="Times New Roman" w:hAnsi="Times New Roman" w:cs="Times New Roman"/>
          <w:bCs/>
          <w:sz w:val="26"/>
          <w:szCs w:val="26"/>
        </w:rPr>
        <w:t>,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и предусмотренные соответствующим договором с Заемщиком, включая залог, поручительство, независимую гарантию.</w:t>
      </w:r>
    </w:p>
    <w:p w14:paraId="4E2790B5" w14:textId="29F71B60" w:rsidR="003923C2" w:rsidRPr="00CF74EF" w:rsidRDefault="003923C2" w:rsidP="008C26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Поручитель </w:t>
      </w:r>
      <w:r w:rsidRPr="00CF7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физическое или юридическое 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лицо, обязавшееся перед </w:t>
      </w:r>
      <w:r w:rsidR="003A740A" w:rsidRPr="00CF74EF">
        <w:rPr>
          <w:rFonts w:ascii="Times New Roman" w:hAnsi="Times New Roman" w:cs="Times New Roman"/>
          <w:bCs/>
          <w:sz w:val="26"/>
          <w:szCs w:val="26"/>
        </w:rPr>
        <w:t>РФРП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отвечать за исполнение Заемщиком его обязательств по договору Займа.</w:t>
      </w:r>
    </w:p>
    <w:p w14:paraId="5EE744A5" w14:textId="03150160" w:rsidR="0011256C" w:rsidRDefault="0011256C" w:rsidP="008C26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Сайт </w:t>
      </w:r>
      <w:r w:rsidR="0047358E" w:rsidRPr="00CF74EF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РФРП</w:t>
      </w:r>
      <w:r w:rsidRPr="00CF74EF">
        <w:rPr>
          <w:rFonts w:ascii="Times New Roman" w:eastAsia="Times New Roman" w:hAnsi="Times New Roman" w:cs="Times New Roman"/>
          <w:bCs/>
          <w:spacing w:val="3"/>
          <w:sz w:val="26"/>
          <w:szCs w:val="26"/>
        </w:rPr>
        <w:t xml:space="preserve"> </w:t>
      </w:r>
      <w:r w:rsidRPr="00CF74EF">
        <w:rPr>
          <w:rFonts w:ascii="Times New Roman" w:hAnsi="Times New Roman" w:cs="Times New Roman"/>
          <w:b/>
          <w:sz w:val="26"/>
          <w:szCs w:val="26"/>
        </w:rPr>
        <w:t>–</w:t>
      </w:r>
      <w:r w:rsidRPr="00CF74EF">
        <w:rPr>
          <w:rFonts w:ascii="Times New Roman" w:eastAsia="Times New Roman" w:hAnsi="Times New Roman" w:cs="Times New Roman"/>
          <w:bCs/>
          <w:spacing w:val="3"/>
          <w:sz w:val="26"/>
          <w:szCs w:val="26"/>
        </w:rPr>
        <w:t xml:space="preserve"> </w:t>
      </w:r>
      <w:hyperlink r:id="rId8" w:history="1">
        <w:r w:rsidR="009612FB" w:rsidRPr="00022532">
          <w:rPr>
            <w:rStyle w:val="aff0"/>
            <w:rFonts w:ascii="Times New Roman" w:hAnsi="Times New Roman" w:cs="Times New Roman"/>
            <w:sz w:val="26"/>
            <w:szCs w:val="26"/>
          </w:rPr>
          <w:t>www.</w:t>
        </w:r>
        <w:r w:rsidR="009612FB" w:rsidRPr="00022532">
          <w:rPr>
            <w:rStyle w:val="aff0"/>
            <w:rFonts w:ascii="Times New Roman" w:hAnsi="Times New Roman" w:cs="Times New Roman"/>
            <w:sz w:val="26"/>
            <w:szCs w:val="26"/>
            <w:lang w:val="en-US"/>
          </w:rPr>
          <w:t>mb</w:t>
        </w:r>
        <w:r w:rsidR="009612FB" w:rsidRPr="00022532">
          <w:rPr>
            <w:rStyle w:val="aff0"/>
            <w:rFonts w:ascii="Times New Roman" w:hAnsi="Times New Roman" w:cs="Times New Roman"/>
            <w:sz w:val="26"/>
            <w:szCs w:val="26"/>
          </w:rPr>
          <w:t>31.ru</w:t>
        </w:r>
      </w:hyperlink>
      <w:r w:rsidRPr="00CF74EF">
        <w:rPr>
          <w:rFonts w:ascii="Times New Roman" w:hAnsi="Times New Roman" w:cs="Times New Roman"/>
          <w:sz w:val="26"/>
          <w:szCs w:val="26"/>
        </w:rPr>
        <w:t>.</w:t>
      </w:r>
    </w:p>
    <w:p w14:paraId="04027303" w14:textId="77777777" w:rsidR="009612FB" w:rsidRPr="00CF74EF" w:rsidRDefault="009612FB" w:rsidP="008C26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941666D" w14:textId="77777777" w:rsidR="008A23A7" w:rsidRPr="00CF74EF" w:rsidRDefault="008A23A7" w:rsidP="007534B3">
      <w:pPr>
        <w:widowControl/>
        <w:suppressAutoHyphens w:val="0"/>
        <w:autoSpaceDE w:val="0"/>
        <w:adjustRightInd w:val="0"/>
        <w:spacing w:after="0"/>
        <w:ind w:firstLine="709"/>
        <w:jc w:val="left"/>
        <w:textAlignment w:val="auto"/>
        <w:rPr>
          <w:rFonts w:ascii="Times New Roman" w:hAnsi="Times New Roman" w:cs="Times New Roman"/>
          <w:bCs/>
          <w:sz w:val="26"/>
          <w:szCs w:val="26"/>
        </w:rPr>
      </w:pPr>
    </w:p>
    <w:p w14:paraId="0D034070" w14:textId="77777777" w:rsidR="00DE1221" w:rsidRDefault="0047358E" w:rsidP="0047358E">
      <w:pPr>
        <w:pStyle w:val="2"/>
        <w:tabs>
          <w:tab w:val="clear" w:pos="397"/>
        </w:tabs>
        <w:spacing w:before="0"/>
        <w:ind w:firstLine="0"/>
        <w:jc w:val="center"/>
        <w:rPr>
          <w:b/>
          <w:sz w:val="26"/>
          <w:szCs w:val="26"/>
        </w:rPr>
      </w:pPr>
      <w:r w:rsidRPr="00CF74EF">
        <w:rPr>
          <w:b/>
          <w:sz w:val="26"/>
          <w:szCs w:val="26"/>
        </w:rPr>
        <w:t>3. </w:t>
      </w:r>
      <w:r w:rsidR="00DE1221" w:rsidRPr="00CF74EF">
        <w:rPr>
          <w:b/>
          <w:sz w:val="26"/>
          <w:szCs w:val="26"/>
        </w:rPr>
        <w:t>Виды используемого обеспечения</w:t>
      </w:r>
    </w:p>
    <w:p w14:paraId="3FCD863C" w14:textId="77777777" w:rsidR="00B44833" w:rsidRPr="00B44833" w:rsidRDefault="00B44833" w:rsidP="00B44833">
      <w:pPr>
        <w:pStyle w:val="Textbody"/>
        <w:rPr>
          <w:lang w:eastAsia="ru-RU"/>
        </w:rPr>
      </w:pPr>
    </w:p>
    <w:p w14:paraId="50CBBE30" w14:textId="77777777" w:rsidR="00E95A8A" w:rsidRPr="00CF74EF" w:rsidRDefault="0047358E" w:rsidP="00482E3C">
      <w:pPr>
        <w:pStyle w:val="2"/>
        <w:spacing w:before="0"/>
        <w:ind w:firstLine="709"/>
        <w:rPr>
          <w:strike/>
          <w:sz w:val="26"/>
          <w:szCs w:val="26"/>
        </w:rPr>
      </w:pPr>
      <w:r w:rsidRPr="00CF74EF">
        <w:rPr>
          <w:sz w:val="26"/>
          <w:szCs w:val="26"/>
        </w:rPr>
        <w:t>3.1. </w:t>
      </w:r>
      <w:r w:rsidR="00DE1221" w:rsidRPr="00CF74EF">
        <w:rPr>
          <w:sz w:val="26"/>
          <w:szCs w:val="26"/>
        </w:rPr>
        <w:t xml:space="preserve">Обеспечение, принимаемое </w:t>
      </w:r>
      <w:r w:rsidR="0094135F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>, оценивается на предмет достаточности и качества.</w:t>
      </w:r>
      <w:r w:rsidR="00D61876" w:rsidRPr="00CF74EF">
        <w:rPr>
          <w:sz w:val="26"/>
          <w:szCs w:val="26"/>
        </w:rPr>
        <w:t xml:space="preserve"> </w:t>
      </w:r>
      <w:r w:rsidR="00E95A8A" w:rsidRPr="00CF74EF">
        <w:rPr>
          <w:sz w:val="26"/>
          <w:szCs w:val="26"/>
        </w:rPr>
        <w:t xml:space="preserve">При оценке качества Обеспечения учитываются ликвидность обеспечения, отсутствие/наличие обременений, состояние активов, их сохранность, значимость активов для бизнеса Заемщика/Залогодателя, возможность контроля за залогом со стороны </w:t>
      </w:r>
      <w:r w:rsidR="0094135F" w:rsidRPr="00CF74EF">
        <w:rPr>
          <w:sz w:val="26"/>
          <w:szCs w:val="26"/>
        </w:rPr>
        <w:t>РФРП</w:t>
      </w:r>
      <w:r w:rsidR="00E95A8A" w:rsidRPr="00CF74EF">
        <w:rPr>
          <w:sz w:val="26"/>
          <w:szCs w:val="26"/>
        </w:rPr>
        <w:t>.</w:t>
      </w:r>
    </w:p>
    <w:p w14:paraId="334C0570" w14:textId="4E8EBCBA" w:rsidR="00DE1221" w:rsidRPr="00CF74EF" w:rsidRDefault="005F271F" w:rsidP="00482E3C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 xml:space="preserve">3.2. </w:t>
      </w:r>
      <w:r w:rsidR="00DE1221" w:rsidRPr="00CF74EF">
        <w:rPr>
          <w:sz w:val="26"/>
          <w:szCs w:val="26"/>
        </w:rPr>
        <w:t xml:space="preserve">В качестве обеспечения могут быть приняты </w:t>
      </w:r>
      <w:r w:rsidR="00DD1E91" w:rsidRPr="00CF74EF">
        <w:rPr>
          <w:sz w:val="26"/>
          <w:szCs w:val="26"/>
        </w:rPr>
        <w:t xml:space="preserve">РФРП </w:t>
      </w:r>
      <w:r w:rsidR="00DE1221" w:rsidRPr="00CF74EF">
        <w:rPr>
          <w:sz w:val="26"/>
          <w:szCs w:val="26"/>
        </w:rPr>
        <w:t xml:space="preserve">поручительства платежеспособных юридических лиц или </w:t>
      </w:r>
      <w:r w:rsidR="00FB3351" w:rsidRPr="00CF74EF">
        <w:rPr>
          <w:sz w:val="26"/>
          <w:szCs w:val="26"/>
        </w:rPr>
        <w:t xml:space="preserve">независимые </w:t>
      </w:r>
      <w:r w:rsidR="00FB3351" w:rsidRPr="005B776E">
        <w:rPr>
          <w:sz w:val="26"/>
          <w:szCs w:val="26"/>
        </w:rPr>
        <w:t xml:space="preserve">гарантии </w:t>
      </w:r>
      <w:r w:rsidR="00DE1221" w:rsidRPr="005B776E">
        <w:rPr>
          <w:sz w:val="26"/>
          <w:szCs w:val="26"/>
        </w:rPr>
        <w:t>кредитных организаций</w:t>
      </w:r>
      <w:r w:rsidR="0002696A" w:rsidRPr="005B776E">
        <w:rPr>
          <w:sz w:val="26"/>
          <w:szCs w:val="26"/>
        </w:rPr>
        <w:t>, требования к которым устанавливаются в соответствии</w:t>
      </w:r>
      <w:r w:rsidR="0002696A" w:rsidRPr="00CF74EF">
        <w:rPr>
          <w:sz w:val="26"/>
          <w:szCs w:val="26"/>
        </w:rPr>
        <w:t xml:space="preserve"> с приложением № 4</w:t>
      </w:r>
      <w:r w:rsidR="00DE1221" w:rsidRPr="00CF74EF">
        <w:rPr>
          <w:sz w:val="26"/>
          <w:szCs w:val="26"/>
        </w:rPr>
        <w:t>.</w:t>
      </w:r>
    </w:p>
    <w:p w14:paraId="067976E7" w14:textId="78E53DA8" w:rsidR="00DE1221" w:rsidRPr="00CF74EF" w:rsidRDefault="005F271F" w:rsidP="00482E3C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3.3.</w:t>
      </w:r>
      <w:r w:rsidR="0024295F" w:rsidRPr="00CF74EF">
        <w:rPr>
          <w:sz w:val="26"/>
          <w:szCs w:val="26"/>
        </w:rPr>
        <w:t xml:space="preserve"> </w:t>
      </w:r>
      <w:r w:rsidR="00DE1221" w:rsidRPr="00CF74EF">
        <w:rPr>
          <w:sz w:val="26"/>
          <w:szCs w:val="26"/>
        </w:rPr>
        <w:t>Виды</w:t>
      </w:r>
      <w:r w:rsidR="00004AA8" w:rsidRPr="00CF74EF">
        <w:rPr>
          <w:sz w:val="26"/>
          <w:szCs w:val="26"/>
        </w:rPr>
        <w:t xml:space="preserve"> </w:t>
      </w:r>
      <w:r w:rsidR="00DE1221" w:rsidRPr="00CF74EF">
        <w:rPr>
          <w:sz w:val="26"/>
          <w:szCs w:val="26"/>
        </w:rPr>
        <w:t xml:space="preserve">обеспечения, принимаемого </w:t>
      </w:r>
      <w:r w:rsidR="00DD1E91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по финансируемым проек</w:t>
      </w:r>
      <w:r w:rsidR="009E3ED4" w:rsidRPr="00CF74EF">
        <w:rPr>
          <w:sz w:val="26"/>
          <w:szCs w:val="26"/>
        </w:rPr>
        <w:t>там, приведены в приложении № 1</w:t>
      </w:r>
      <w:r w:rsidRPr="00CF74EF">
        <w:rPr>
          <w:sz w:val="26"/>
          <w:szCs w:val="26"/>
        </w:rPr>
        <w:t>.</w:t>
      </w:r>
    </w:p>
    <w:p w14:paraId="7CD32DE4" w14:textId="77777777" w:rsidR="00DE1221" w:rsidRPr="00CF74EF" w:rsidRDefault="00DE1221" w:rsidP="00482E3C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При рассмотрении вопросов</w:t>
      </w:r>
      <w:r w:rsidR="007E13EC" w:rsidRPr="00CF74EF">
        <w:rPr>
          <w:sz w:val="26"/>
          <w:szCs w:val="26"/>
        </w:rPr>
        <w:t xml:space="preserve"> </w:t>
      </w:r>
      <w:r w:rsidRPr="00CF74EF">
        <w:rPr>
          <w:sz w:val="26"/>
          <w:szCs w:val="26"/>
        </w:rPr>
        <w:t>о принятии в обеспечение производственных активов в виде недвижимого и движимого имущества учитываются наличие/отсутствие между ними технологических, организационных, экономических, производственных и иных взаимосвязей с точки зрения общего назначения и</w:t>
      </w:r>
      <w:r w:rsidR="00221107" w:rsidRPr="00CF74EF">
        <w:rPr>
          <w:sz w:val="26"/>
          <w:szCs w:val="26"/>
        </w:rPr>
        <w:t xml:space="preserve"> реализации определенных целей</w:t>
      </w:r>
      <w:r w:rsidRPr="00CF74EF">
        <w:rPr>
          <w:sz w:val="26"/>
          <w:szCs w:val="26"/>
        </w:rPr>
        <w:t>.</w:t>
      </w:r>
    </w:p>
    <w:p w14:paraId="4C9489F3" w14:textId="77777777" w:rsidR="00DE1221" w:rsidRPr="00CF74EF" w:rsidRDefault="00482E3C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4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 xml:space="preserve">При рассмотрении возможности принятия в качестве Обеспечения имущества, учитываются законодательные запреты на совершение сделок залога с </w:t>
      </w:r>
      <w:r w:rsidR="00DE1221" w:rsidRPr="00CF74EF">
        <w:rPr>
          <w:sz w:val="26"/>
          <w:szCs w:val="26"/>
        </w:rPr>
        <w:lastRenderedPageBreak/>
        <w:t xml:space="preserve">отдельными видами имущества. </w:t>
      </w:r>
    </w:p>
    <w:p w14:paraId="797D0E82" w14:textId="77777777" w:rsidR="00DE1221" w:rsidRPr="00CF74EF" w:rsidRDefault="00482E3C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5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 xml:space="preserve">Виды имущества, не принимаемого </w:t>
      </w:r>
      <w:r w:rsidR="0029349C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в качестве Обеспечения, приведены в приложении № </w:t>
      </w:r>
      <w:r w:rsidR="005F271F" w:rsidRPr="00CF74EF">
        <w:rPr>
          <w:sz w:val="26"/>
          <w:szCs w:val="26"/>
        </w:rPr>
        <w:t>2</w:t>
      </w:r>
      <w:r w:rsidR="009F3C11" w:rsidRPr="00CF74EF">
        <w:rPr>
          <w:sz w:val="26"/>
          <w:szCs w:val="26"/>
        </w:rPr>
        <w:t xml:space="preserve"> к Порядку РФРП</w:t>
      </w:r>
      <w:r w:rsidR="00DE1221" w:rsidRPr="00CF74EF">
        <w:rPr>
          <w:sz w:val="26"/>
          <w:szCs w:val="26"/>
        </w:rPr>
        <w:t>.</w:t>
      </w:r>
    </w:p>
    <w:p w14:paraId="4DA28C42" w14:textId="1B148501" w:rsidR="00DE1221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6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>Принимаемое в залог имущество не</w:t>
      </w:r>
      <w:r w:rsidR="00F12A6F" w:rsidRPr="00CF74EF">
        <w:rPr>
          <w:sz w:val="26"/>
          <w:szCs w:val="26"/>
        </w:rPr>
        <w:t xml:space="preserve"> должно находиться под арестом</w:t>
      </w:r>
      <w:r w:rsidR="00404EC7">
        <w:rPr>
          <w:sz w:val="26"/>
          <w:szCs w:val="26"/>
        </w:rPr>
        <w:t xml:space="preserve">, </w:t>
      </w:r>
      <w:r w:rsidR="00404EC7" w:rsidRPr="005B776E">
        <w:rPr>
          <w:sz w:val="26"/>
          <w:szCs w:val="26"/>
        </w:rPr>
        <w:t>находится в залоге и не иметь иных обременений</w:t>
      </w:r>
      <w:r w:rsidR="00332010" w:rsidRPr="005B776E">
        <w:rPr>
          <w:sz w:val="26"/>
          <w:szCs w:val="26"/>
        </w:rPr>
        <w:t>.</w:t>
      </w:r>
    </w:p>
    <w:p w14:paraId="6FEBA3B4" w14:textId="77777777" w:rsidR="00332ABA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trike/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7</w:t>
      </w:r>
      <w:r w:rsidRPr="00CF74EF">
        <w:rPr>
          <w:sz w:val="26"/>
          <w:szCs w:val="26"/>
        </w:rPr>
        <w:t>. </w:t>
      </w:r>
      <w:r w:rsidR="00DC67EA" w:rsidRPr="00CF74EF">
        <w:rPr>
          <w:sz w:val="26"/>
          <w:szCs w:val="26"/>
        </w:rPr>
        <w:t>З</w:t>
      </w:r>
      <w:r w:rsidR="00332ABA" w:rsidRPr="00CF74EF">
        <w:rPr>
          <w:sz w:val="26"/>
          <w:szCs w:val="26"/>
        </w:rPr>
        <w:t>алог</w:t>
      </w:r>
      <w:r w:rsidR="00DC67EA" w:rsidRPr="00CF74EF">
        <w:rPr>
          <w:sz w:val="26"/>
          <w:szCs w:val="26"/>
        </w:rPr>
        <w:t xml:space="preserve"> приобретаемого на средства займа имущества </w:t>
      </w:r>
      <w:r w:rsidR="00332ABA" w:rsidRPr="00CF74EF">
        <w:rPr>
          <w:sz w:val="26"/>
          <w:szCs w:val="26"/>
        </w:rPr>
        <w:t xml:space="preserve">допускается в качестве обеспечения. </w:t>
      </w:r>
    </w:p>
    <w:p w14:paraId="3DF42787" w14:textId="77777777" w:rsidR="00332ABA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8</w:t>
      </w:r>
      <w:r w:rsidRPr="00CF74EF">
        <w:rPr>
          <w:sz w:val="26"/>
          <w:szCs w:val="26"/>
        </w:rPr>
        <w:t>. </w:t>
      </w:r>
      <w:r w:rsidR="00DC67EA" w:rsidRPr="00CF74EF">
        <w:rPr>
          <w:sz w:val="26"/>
          <w:szCs w:val="26"/>
        </w:rPr>
        <w:t xml:space="preserve">РФРП не принимает в последующий залог имущество, находящееся в залоге у третьих лиц, в качестве обеспечения. </w:t>
      </w:r>
      <w:r w:rsidR="00332010" w:rsidRPr="00CF74EF">
        <w:rPr>
          <w:sz w:val="26"/>
          <w:szCs w:val="26"/>
        </w:rPr>
        <w:t xml:space="preserve">Не </w:t>
      </w:r>
      <w:r w:rsidR="009F34D1" w:rsidRPr="00CF74EF">
        <w:rPr>
          <w:sz w:val="26"/>
          <w:szCs w:val="26"/>
        </w:rPr>
        <w:t>допускается передача в последующий залог третьим лицам имущества, принятого Фондом в качестве обеспечения.</w:t>
      </w:r>
      <w:r w:rsidR="00332ABA" w:rsidRPr="00CF74EF">
        <w:rPr>
          <w:sz w:val="26"/>
          <w:szCs w:val="26"/>
        </w:rPr>
        <w:t xml:space="preserve"> </w:t>
      </w:r>
    </w:p>
    <w:p w14:paraId="5A9D38B0" w14:textId="6AEB582B" w:rsidR="00726FDF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</w:t>
      </w:r>
      <w:r w:rsidR="005F271F" w:rsidRPr="00CF74EF">
        <w:rPr>
          <w:sz w:val="26"/>
          <w:szCs w:val="26"/>
        </w:rPr>
        <w:t>9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 xml:space="preserve">На момент выдачи займа (принятия решения </w:t>
      </w:r>
      <w:r w:rsidR="009F3C11" w:rsidRPr="00CF74EF">
        <w:rPr>
          <w:sz w:val="26"/>
          <w:szCs w:val="26"/>
        </w:rPr>
        <w:t xml:space="preserve">Наблюдательным советом </w:t>
      </w:r>
      <w:r w:rsidR="00DE1221" w:rsidRPr="00CF74EF">
        <w:rPr>
          <w:sz w:val="26"/>
          <w:szCs w:val="26"/>
        </w:rPr>
        <w:t xml:space="preserve">о финансировании проекта) обеспечение признается достаточным, если залоговая стоимость </w:t>
      </w:r>
      <w:r w:rsidR="005870EB" w:rsidRPr="00CF74EF">
        <w:rPr>
          <w:sz w:val="26"/>
          <w:szCs w:val="26"/>
        </w:rPr>
        <w:t>и (или)</w:t>
      </w:r>
      <w:r w:rsidR="00DE1221" w:rsidRPr="00CF74EF">
        <w:rPr>
          <w:sz w:val="26"/>
          <w:szCs w:val="26"/>
        </w:rPr>
        <w:t xml:space="preserve"> объем </w:t>
      </w:r>
      <w:r w:rsidR="007E62DB" w:rsidRPr="00CF74EF">
        <w:rPr>
          <w:sz w:val="26"/>
          <w:szCs w:val="26"/>
        </w:rPr>
        <w:t>обеспеченных</w:t>
      </w:r>
      <w:r w:rsidR="00DE1221" w:rsidRPr="00CF74EF">
        <w:rPr>
          <w:sz w:val="26"/>
          <w:szCs w:val="26"/>
        </w:rPr>
        <w:t xml:space="preserve"> обязательств по независимой гарантии (поручительству), принимаемого в качестве обеспечения, равн</w:t>
      </w:r>
      <w:r w:rsidR="007E62DB" w:rsidRPr="00CF74EF">
        <w:rPr>
          <w:sz w:val="26"/>
          <w:szCs w:val="26"/>
        </w:rPr>
        <w:t>ы</w:t>
      </w:r>
      <w:r w:rsidR="00DE1221" w:rsidRPr="00CF74EF">
        <w:rPr>
          <w:sz w:val="26"/>
          <w:szCs w:val="26"/>
        </w:rPr>
        <w:t xml:space="preserve"> или превыша</w:t>
      </w:r>
      <w:r w:rsidR="007E62DB" w:rsidRPr="00CF74EF">
        <w:rPr>
          <w:sz w:val="26"/>
          <w:szCs w:val="26"/>
        </w:rPr>
        <w:t>ю</w:t>
      </w:r>
      <w:r w:rsidR="00DE1221" w:rsidRPr="00CF74EF">
        <w:rPr>
          <w:sz w:val="26"/>
          <w:szCs w:val="26"/>
        </w:rPr>
        <w:t>т размер основного</w:t>
      </w:r>
      <w:r w:rsidR="0002696A" w:rsidRPr="00CF74EF">
        <w:rPr>
          <w:sz w:val="26"/>
          <w:szCs w:val="26"/>
        </w:rPr>
        <w:t xml:space="preserve"> долга</w:t>
      </w:r>
      <w:r w:rsidR="00404EC7">
        <w:rPr>
          <w:sz w:val="26"/>
          <w:szCs w:val="26"/>
        </w:rPr>
        <w:t xml:space="preserve"> и </w:t>
      </w:r>
      <w:r w:rsidR="00404EC7" w:rsidRPr="005B776E">
        <w:rPr>
          <w:sz w:val="26"/>
          <w:szCs w:val="26"/>
        </w:rPr>
        <w:t>суммы причитающихся процентов, начисленных на весь срок действия договора целевого займа</w:t>
      </w:r>
      <w:r w:rsidR="00794E79" w:rsidRPr="005B776E">
        <w:rPr>
          <w:sz w:val="26"/>
          <w:szCs w:val="26"/>
        </w:rPr>
        <w:t>.</w:t>
      </w:r>
    </w:p>
    <w:p w14:paraId="12A55A32" w14:textId="3E2206C8" w:rsidR="0011548A" w:rsidRPr="001E3886" w:rsidRDefault="001E3886" w:rsidP="0011548A">
      <w:pPr>
        <w:pStyle w:val="Textbody"/>
        <w:spacing w:after="0"/>
        <w:ind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предоставления </w:t>
      </w:r>
      <w:proofErr w:type="spellStart"/>
      <w:r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последзалога</w:t>
      </w:r>
      <w:proofErr w:type="spellEnd"/>
      <w:r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D9A"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рамках финансирования инвестиционных проектов) </w:t>
      </w:r>
      <w:r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приобретаемого имущества за счет средств целевого займа, </w:t>
      </w:r>
      <w:r w:rsidR="0011548A"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 наличие залогового обеспечения в размере не менее 30% от размера основного </w:t>
      </w:r>
      <w:r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долга</w:t>
      </w:r>
      <w:r w:rsidR="00A42D9A" w:rsidRPr="002D16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09C7D7" w14:textId="5D25A3E8" w:rsidR="00F83FC5" w:rsidRPr="00CA656E" w:rsidRDefault="00F83FC5" w:rsidP="0011548A">
      <w:pPr>
        <w:pStyle w:val="a7"/>
        <w:shd w:val="clear" w:color="auto" w:fill="FFFFFF"/>
        <w:spacing w:before="0" w:after="0"/>
        <w:ind w:firstLine="708"/>
        <w:rPr>
          <w:sz w:val="26"/>
          <w:szCs w:val="26"/>
        </w:rPr>
      </w:pPr>
      <w:r w:rsidRPr="00CA656E">
        <w:rPr>
          <w:sz w:val="26"/>
          <w:szCs w:val="26"/>
        </w:rPr>
        <w:t xml:space="preserve">В случае, если Заемщик </w:t>
      </w:r>
      <w:r w:rsidRPr="00B44833">
        <w:rPr>
          <w:sz w:val="26"/>
          <w:szCs w:val="26"/>
        </w:rPr>
        <w:t xml:space="preserve">– юридическое лицо, </w:t>
      </w:r>
      <w:r w:rsidR="00074A3F" w:rsidRPr="00B44833">
        <w:rPr>
          <w:sz w:val="26"/>
          <w:szCs w:val="26"/>
        </w:rPr>
        <w:t xml:space="preserve">последний </w:t>
      </w:r>
      <w:r w:rsidR="00404EC7" w:rsidRPr="00B44833">
        <w:rPr>
          <w:sz w:val="26"/>
          <w:szCs w:val="26"/>
        </w:rPr>
        <w:t xml:space="preserve">предоставляет </w:t>
      </w:r>
      <w:r w:rsidRPr="00B44833">
        <w:rPr>
          <w:sz w:val="26"/>
          <w:szCs w:val="26"/>
        </w:rPr>
        <w:t xml:space="preserve">поручительство </w:t>
      </w:r>
      <w:r w:rsidR="00404EC7" w:rsidRPr="00B44833">
        <w:rPr>
          <w:sz w:val="26"/>
          <w:szCs w:val="26"/>
        </w:rPr>
        <w:t xml:space="preserve">руководителя организации, </w:t>
      </w:r>
      <w:r w:rsidRPr="00B44833">
        <w:rPr>
          <w:sz w:val="26"/>
          <w:szCs w:val="26"/>
        </w:rPr>
        <w:t xml:space="preserve">учредителей (в совокупности доля участия не менее 51 процента) </w:t>
      </w:r>
      <w:r w:rsidR="00404EC7" w:rsidRPr="00B44833">
        <w:rPr>
          <w:sz w:val="26"/>
          <w:szCs w:val="26"/>
        </w:rPr>
        <w:t xml:space="preserve">или </w:t>
      </w:r>
      <w:r w:rsidR="006552DA" w:rsidRPr="00B44833">
        <w:rPr>
          <w:sz w:val="26"/>
          <w:szCs w:val="26"/>
        </w:rPr>
        <w:t>в случае отсутствия поручительства учредителей</w:t>
      </w:r>
      <w:r w:rsidR="00987241" w:rsidRPr="00B44833">
        <w:rPr>
          <w:sz w:val="26"/>
          <w:szCs w:val="26"/>
        </w:rPr>
        <w:t xml:space="preserve"> и</w:t>
      </w:r>
      <w:r w:rsidR="006552DA" w:rsidRPr="00B44833">
        <w:rPr>
          <w:sz w:val="26"/>
          <w:szCs w:val="26"/>
        </w:rPr>
        <w:t xml:space="preserve"> руководителя организации</w:t>
      </w:r>
      <w:r w:rsidR="00987241" w:rsidRPr="00B44833">
        <w:rPr>
          <w:sz w:val="26"/>
          <w:szCs w:val="26"/>
        </w:rPr>
        <w:t>,</w:t>
      </w:r>
      <w:r w:rsidR="006552DA" w:rsidRPr="00B44833">
        <w:rPr>
          <w:sz w:val="26"/>
          <w:szCs w:val="26"/>
        </w:rPr>
        <w:t xml:space="preserve"> </w:t>
      </w:r>
      <w:r w:rsidR="00A42D9A" w:rsidRPr="00B44833">
        <w:rPr>
          <w:sz w:val="26"/>
          <w:szCs w:val="26"/>
        </w:rPr>
        <w:t xml:space="preserve">предоставляет залоговое обеспечение </w:t>
      </w:r>
      <w:r w:rsidR="00F45710" w:rsidRPr="00B44833">
        <w:rPr>
          <w:sz w:val="26"/>
          <w:szCs w:val="26"/>
        </w:rPr>
        <w:t xml:space="preserve">с </w:t>
      </w:r>
      <w:proofErr w:type="gramStart"/>
      <w:r w:rsidR="00F45710" w:rsidRPr="00B44833">
        <w:rPr>
          <w:sz w:val="26"/>
          <w:szCs w:val="26"/>
        </w:rPr>
        <w:t>коэффициентом  2</w:t>
      </w:r>
      <w:proofErr w:type="gramEnd"/>
      <w:r w:rsidR="00F45710" w:rsidRPr="00B44833">
        <w:rPr>
          <w:sz w:val="26"/>
          <w:szCs w:val="26"/>
        </w:rPr>
        <w:t xml:space="preserve"> к оценочной (ликвидационной) стоимости </w:t>
      </w:r>
      <w:r w:rsidR="002D16A2" w:rsidRPr="00B44833">
        <w:rPr>
          <w:sz w:val="26"/>
          <w:szCs w:val="26"/>
        </w:rPr>
        <w:t>согласно отчету</w:t>
      </w:r>
      <w:r w:rsidR="00F45710" w:rsidRPr="00B44833">
        <w:rPr>
          <w:sz w:val="26"/>
          <w:szCs w:val="26"/>
        </w:rPr>
        <w:t xml:space="preserve"> об оценке залогового имущества</w:t>
      </w:r>
      <w:r w:rsidR="006552DA" w:rsidRPr="00B44833">
        <w:rPr>
          <w:sz w:val="26"/>
          <w:szCs w:val="26"/>
        </w:rPr>
        <w:t>.</w:t>
      </w:r>
    </w:p>
    <w:p w14:paraId="7D448328" w14:textId="43825C85" w:rsidR="00F83FC5" w:rsidRPr="00CF74EF" w:rsidRDefault="00F83FC5" w:rsidP="0011548A">
      <w:pPr>
        <w:pStyle w:val="a7"/>
        <w:shd w:val="clear" w:color="auto" w:fill="FFFFFF"/>
        <w:spacing w:before="0" w:after="0"/>
        <w:ind w:firstLine="708"/>
        <w:rPr>
          <w:sz w:val="26"/>
          <w:szCs w:val="26"/>
        </w:rPr>
      </w:pPr>
      <w:r w:rsidRPr="00CA656E">
        <w:rPr>
          <w:sz w:val="26"/>
          <w:szCs w:val="26"/>
        </w:rPr>
        <w:t>В случае, если</w:t>
      </w:r>
      <w:r w:rsidRPr="00CF74EF">
        <w:rPr>
          <w:sz w:val="26"/>
          <w:szCs w:val="26"/>
        </w:rPr>
        <w:t xml:space="preserve"> Заемщик – индивидуальный предприниматель, то обязательно поручительство супруга/супруги (при наличии).</w:t>
      </w:r>
    </w:p>
    <w:p w14:paraId="374F553C" w14:textId="38FB39C0" w:rsidR="007E62DB" w:rsidRPr="00CF74EF" w:rsidRDefault="009F6E1F" w:rsidP="007E62DB">
      <w:pPr>
        <w:pStyle w:val="a7"/>
        <w:shd w:val="clear" w:color="auto" w:fill="FFFFFF"/>
        <w:spacing w:before="0" w:after="0"/>
        <w:ind w:firstLine="708"/>
        <w:rPr>
          <w:sz w:val="26"/>
          <w:szCs w:val="26"/>
        </w:rPr>
      </w:pPr>
      <w:r w:rsidRPr="00CF74EF">
        <w:rPr>
          <w:sz w:val="26"/>
          <w:szCs w:val="26"/>
        </w:rPr>
        <w:t>Объем обязательств</w:t>
      </w:r>
      <w:r w:rsidR="007E62DB" w:rsidRPr="00CF74EF">
        <w:rPr>
          <w:sz w:val="26"/>
          <w:szCs w:val="26"/>
        </w:rPr>
        <w:t>, обеспеченны</w:t>
      </w:r>
      <w:r w:rsidRPr="00CF74EF">
        <w:rPr>
          <w:sz w:val="26"/>
          <w:szCs w:val="26"/>
        </w:rPr>
        <w:t>й</w:t>
      </w:r>
      <w:r w:rsidR="007E62DB" w:rsidRPr="00CF74EF">
        <w:rPr>
          <w:sz w:val="26"/>
          <w:szCs w:val="26"/>
        </w:rPr>
        <w:t xml:space="preserve"> поручительством, </w:t>
      </w:r>
      <w:r w:rsidR="00CB5A42" w:rsidRPr="00CF74EF">
        <w:rPr>
          <w:sz w:val="26"/>
          <w:szCs w:val="26"/>
        </w:rPr>
        <w:t xml:space="preserve">соответствует десятикратному размеру среднемесячного дохода </w:t>
      </w:r>
      <w:r w:rsidR="007E62DB" w:rsidRPr="00CF74EF">
        <w:rPr>
          <w:sz w:val="26"/>
          <w:szCs w:val="26"/>
        </w:rPr>
        <w:t xml:space="preserve">поручителя </w:t>
      </w:r>
      <w:r w:rsidR="00C80542" w:rsidRPr="00CF74EF">
        <w:rPr>
          <w:sz w:val="26"/>
          <w:szCs w:val="26"/>
        </w:rPr>
        <w:t xml:space="preserve">- физического лица за последние 6 месяцев, поручителя - индивидуального предпринимателя за последний отчетный период, либо среднемесячной </w:t>
      </w:r>
      <w:r w:rsidR="00307344" w:rsidRPr="00CF74EF">
        <w:rPr>
          <w:sz w:val="26"/>
          <w:szCs w:val="26"/>
        </w:rPr>
        <w:t>выручки</w:t>
      </w:r>
      <w:r w:rsidR="00C80542" w:rsidRPr="00CF74EF">
        <w:rPr>
          <w:sz w:val="26"/>
          <w:szCs w:val="26"/>
        </w:rPr>
        <w:t xml:space="preserve"> поручителя – юридического лица за последний отчетный период</w:t>
      </w:r>
      <w:r w:rsidR="00CB5A42" w:rsidRPr="00CF74EF">
        <w:rPr>
          <w:sz w:val="26"/>
          <w:szCs w:val="26"/>
        </w:rPr>
        <w:t>, свободному от кредитных обязательств</w:t>
      </w:r>
      <w:r w:rsidR="00C80542" w:rsidRPr="00CF74EF">
        <w:rPr>
          <w:sz w:val="26"/>
          <w:szCs w:val="26"/>
        </w:rPr>
        <w:t>.</w:t>
      </w:r>
    </w:p>
    <w:p w14:paraId="5C949F30" w14:textId="28E9680D" w:rsidR="00DE1221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3.1</w:t>
      </w:r>
      <w:r w:rsidR="00794E79" w:rsidRPr="00CF74EF">
        <w:rPr>
          <w:sz w:val="26"/>
          <w:szCs w:val="26"/>
        </w:rPr>
        <w:t>0</w:t>
      </w:r>
      <w:r w:rsidRPr="00CF74EF">
        <w:rPr>
          <w:sz w:val="26"/>
          <w:szCs w:val="26"/>
        </w:rPr>
        <w:t>. </w:t>
      </w:r>
      <w:r w:rsidR="00794E79" w:rsidRPr="00CF74EF">
        <w:rPr>
          <w:sz w:val="26"/>
          <w:szCs w:val="26"/>
        </w:rPr>
        <w:t>О</w:t>
      </w:r>
      <w:r w:rsidR="00DE1221" w:rsidRPr="00CF74EF">
        <w:rPr>
          <w:sz w:val="26"/>
          <w:szCs w:val="26"/>
        </w:rPr>
        <w:t>беспечение должно соответствовать требованию достаточности в течение всего срока действия договора Займа</w:t>
      </w:r>
      <w:r w:rsidR="007A2F91" w:rsidRPr="00CF74EF">
        <w:rPr>
          <w:sz w:val="26"/>
          <w:szCs w:val="26"/>
        </w:rPr>
        <w:t xml:space="preserve"> </w:t>
      </w:r>
      <w:r w:rsidR="00DE1221" w:rsidRPr="00CF74EF">
        <w:rPr>
          <w:sz w:val="26"/>
          <w:szCs w:val="26"/>
        </w:rPr>
        <w:t xml:space="preserve">и </w:t>
      </w:r>
      <w:r w:rsidR="0083741F" w:rsidRPr="00CF74EF">
        <w:rPr>
          <w:sz w:val="26"/>
          <w:szCs w:val="26"/>
        </w:rPr>
        <w:t xml:space="preserve">быть равным или </w:t>
      </w:r>
      <w:r w:rsidR="00DE1221" w:rsidRPr="00CF74EF">
        <w:rPr>
          <w:sz w:val="26"/>
          <w:szCs w:val="26"/>
        </w:rPr>
        <w:t xml:space="preserve">превышать размер оставшихся обязательств </w:t>
      </w:r>
      <w:r w:rsidR="00794E79" w:rsidRPr="00CF74EF">
        <w:rPr>
          <w:sz w:val="26"/>
          <w:szCs w:val="26"/>
        </w:rPr>
        <w:t>Заявителя по возврату основного</w:t>
      </w:r>
      <w:r w:rsidR="0002696A" w:rsidRPr="00CF74EF">
        <w:rPr>
          <w:sz w:val="26"/>
          <w:szCs w:val="26"/>
        </w:rPr>
        <w:t xml:space="preserve"> долга</w:t>
      </w:r>
      <w:r w:rsidR="00404EC7">
        <w:rPr>
          <w:sz w:val="26"/>
          <w:szCs w:val="26"/>
        </w:rPr>
        <w:t xml:space="preserve"> </w:t>
      </w:r>
      <w:r w:rsidR="00404EC7" w:rsidRPr="00404EC7">
        <w:rPr>
          <w:sz w:val="26"/>
          <w:szCs w:val="26"/>
        </w:rPr>
        <w:t>суммы</w:t>
      </w:r>
      <w:r w:rsidR="00404EC7">
        <w:rPr>
          <w:sz w:val="26"/>
          <w:szCs w:val="26"/>
        </w:rPr>
        <w:t xml:space="preserve"> </w:t>
      </w:r>
      <w:r w:rsidR="00404EC7">
        <w:rPr>
          <w:sz w:val="26"/>
          <w:szCs w:val="26"/>
        </w:rPr>
        <w:br/>
      </w:r>
      <w:r w:rsidR="00404EC7" w:rsidRPr="005B776E">
        <w:rPr>
          <w:sz w:val="26"/>
          <w:szCs w:val="26"/>
        </w:rPr>
        <w:t>и причитающихся процентов, начисленных на весь срок действия договора целевого займа</w:t>
      </w:r>
      <w:r w:rsidR="00794E79" w:rsidRPr="005B776E">
        <w:rPr>
          <w:sz w:val="26"/>
          <w:szCs w:val="26"/>
        </w:rPr>
        <w:t>.</w:t>
      </w:r>
    </w:p>
    <w:p w14:paraId="4CABD9D1" w14:textId="0FACEFF0" w:rsidR="00DC2454" w:rsidRPr="00CF74EF" w:rsidRDefault="00D31733" w:rsidP="00D31733">
      <w:pPr>
        <w:pStyle w:val="2"/>
        <w:tabs>
          <w:tab w:val="clear" w:pos="397"/>
        </w:tabs>
        <w:autoSpaceDE w:val="0"/>
        <w:adjustRightInd w:val="0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3.1</w:t>
      </w:r>
      <w:r w:rsidR="00C92161" w:rsidRPr="00CF74EF">
        <w:rPr>
          <w:sz w:val="26"/>
          <w:szCs w:val="26"/>
        </w:rPr>
        <w:t>1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>Оценочная (</w:t>
      </w:r>
      <w:r w:rsidR="0006389A" w:rsidRPr="00CF74EF">
        <w:rPr>
          <w:sz w:val="26"/>
          <w:szCs w:val="26"/>
        </w:rPr>
        <w:t>ликвидационная</w:t>
      </w:r>
      <w:r w:rsidR="00DE1221" w:rsidRPr="00CF74EF">
        <w:rPr>
          <w:sz w:val="26"/>
          <w:szCs w:val="26"/>
        </w:rPr>
        <w:t>) стоимость залога</w:t>
      </w:r>
      <w:r w:rsidR="00132C61" w:rsidRPr="00CF74EF">
        <w:rPr>
          <w:sz w:val="26"/>
          <w:szCs w:val="26"/>
        </w:rPr>
        <w:t xml:space="preserve">, </w:t>
      </w:r>
      <w:r w:rsidR="00F61025" w:rsidRPr="00CF74EF">
        <w:rPr>
          <w:sz w:val="26"/>
          <w:szCs w:val="26"/>
        </w:rPr>
        <w:t>о</w:t>
      </w:r>
      <w:r w:rsidR="00132C61" w:rsidRPr="00CF74EF">
        <w:rPr>
          <w:sz w:val="26"/>
          <w:szCs w:val="26"/>
        </w:rPr>
        <w:t>тносящаяся к обеспечению,</w:t>
      </w:r>
      <w:r w:rsidR="00DE1221" w:rsidRPr="00CF74EF">
        <w:rPr>
          <w:sz w:val="26"/>
          <w:szCs w:val="26"/>
        </w:rPr>
        <w:t xml:space="preserve"> определяется на основа</w:t>
      </w:r>
      <w:r w:rsidR="00F61025" w:rsidRPr="00CF74EF">
        <w:rPr>
          <w:sz w:val="26"/>
          <w:szCs w:val="26"/>
        </w:rPr>
        <w:t>нии отчетов оценочных компаний</w:t>
      </w:r>
      <w:r w:rsidR="007F5FD4" w:rsidRPr="00CF74EF">
        <w:rPr>
          <w:sz w:val="26"/>
          <w:szCs w:val="26"/>
        </w:rPr>
        <w:t xml:space="preserve"> (без учета НДС)</w:t>
      </w:r>
      <w:r w:rsidR="00DE1221" w:rsidRPr="00CF74EF">
        <w:rPr>
          <w:sz w:val="26"/>
          <w:szCs w:val="26"/>
        </w:rPr>
        <w:t xml:space="preserve">. </w:t>
      </w:r>
      <w:r w:rsidR="0006389A" w:rsidRPr="00CF74EF">
        <w:rPr>
          <w:sz w:val="26"/>
          <w:szCs w:val="26"/>
        </w:rPr>
        <w:t>Ликвидационная</w:t>
      </w:r>
      <w:r w:rsidR="00DE1221" w:rsidRPr="00CF74EF">
        <w:rPr>
          <w:sz w:val="26"/>
          <w:szCs w:val="26"/>
        </w:rPr>
        <w:t xml:space="preserve"> стоимость, определенная в отчете, принимается </w:t>
      </w:r>
      <w:r w:rsidR="00EC66EC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для целей совершения сделки в течение </w:t>
      </w:r>
      <w:r w:rsidR="0006389A" w:rsidRPr="00CF74EF">
        <w:rPr>
          <w:sz w:val="26"/>
          <w:szCs w:val="26"/>
        </w:rPr>
        <w:t>шести</w:t>
      </w:r>
      <w:r w:rsidR="00DE1221" w:rsidRPr="00CF74EF">
        <w:rPr>
          <w:sz w:val="26"/>
          <w:szCs w:val="26"/>
        </w:rPr>
        <w:t xml:space="preserve"> ме</w:t>
      </w:r>
      <w:r w:rsidR="00F61025" w:rsidRPr="00CF74EF">
        <w:rPr>
          <w:sz w:val="26"/>
          <w:szCs w:val="26"/>
        </w:rPr>
        <w:t>сяцев</w:t>
      </w:r>
      <w:r w:rsidR="000549E2" w:rsidRPr="00CF74EF">
        <w:rPr>
          <w:sz w:val="26"/>
          <w:szCs w:val="26"/>
        </w:rPr>
        <w:t xml:space="preserve"> </w:t>
      </w:r>
      <w:r w:rsidR="00F61025" w:rsidRPr="00CF74EF">
        <w:rPr>
          <w:sz w:val="26"/>
          <w:szCs w:val="26"/>
        </w:rPr>
        <w:t>с даты составления отчета</w:t>
      </w:r>
      <w:r w:rsidR="00DE1221" w:rsidRPr="00CF74EF">
        <w:rPr>
          <w:sz w:val="26"/>
          <w:szCs w:val="26"/>
        </w:rPr>
        <w:t>.</w:t>
      </w:r>
      <w:r w:rsidR="00F61025" w:rsidRPr="00CF74EF">
        <w:rPr>
          <w:sz w:val="26"/>
          <w:szCs w:val="26"/>
        </w:rPr>
        <w:t xml:space="preserve"> </w:t>
      </w:r>
      <w:r w:rsidR="00DE1221" w:rsidRPr="00CF74EF">
        <w:rPr>
          <w:sz w:val="26"/>
          <w:szCs w:val="26"/>
        </w:rPr>
        <w:t>Оценка Обеспечения осуществляется за счет Заемщика</w:t>
      </w:r>
      <w:r w:rsidR="00294DAE" w:rsidRPr="00CF74EF">
        <w:rPr>
          <w:sz w:val="26"/>
          <w:szCs w:val="26"/>
        </w:rPr>
        <w:t>.</w:t>
      </w:r>
    </w:p>
    <w:p w14:paraId="77CFF78C" w14:textId="77777777" w:rsidR="000549E2" w:rsidRPr="00CF74EF" w:rsidRDefault="000549E2" w:rsidP="000549E2">
      <w:pPr>
        <w:pStyle w:val="Textbody"/>
        <w:rPr>
          <w:rFonts w:ascii="Times New Roman" w:hAnsi="Times New Roman" w:cs="Times New Roman"/>
          <w:sz w:val="26"/>
          <w:szCs w:val="26"/>
          <w:lang w:eastAsia="ru-RU"/>
        </w:rPr>
      </w:pPr>
      <w:r w:rsidRPr="00CF74EF">
        <w:rPr>
          <w:rStyle w:val="fontstyle01"/>
          <w:rFonts w:ascii="Times New Roman" w:hAnsi="Times New Roman" w:cs="Times New Roman"/>
          <w:sz w:val="26"/>
          <w:szCs w:val="26"/>
        </w:rPr>
        <w:t>Оценочная стоимость предлагаемого в залог оборудования, приобретаемого в</w:t>
      </w:r>
      <w:r w:rsidRPr="00CF74E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F74EF">
        <w:rPr>
          <w:rStyle w:val="fontstyle01"/>
          <w:rFonts w:ascii="Times New Roman" w:hAnsi="Times New Roman" w:cs="Times New Roman"/>
          <w:sz w:val="26"/>
          <w:szCs w:val="26"/>
        </w:rPr>
        <w:t>процессе реализации проекта и оплачиваемого полностью или частично за счет</w:t>
      </w:r>
      <w:r w:rsidRPr="00CF74E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F74EF">
        <w:rPr>
          <w:rStyle w:val="fontstyle01"/>
          <w:rFonts w:ascii="Times New Roman" w:hAnsi="Times New Roman" w:cs="Times New Roman"/>
          <w:sz w:val="26"/>
          <w:szCs w:val="26"/>
        </w:rPr>
        <w:t>средств, предоставленных Фондом, определяется по цене, указанной в договоре на</w:t>
      </w:r>
      <w:r w:rsidRPr="00CF74E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F74EF">
        <w:rPr>
          <w:rStyle w:val="fontstyle01"/>
          <w:rFonts w:ascii="Times New Roman" w:hAnsi="Times New Roman" w:cs="Times New Roman"/>
          <w:sz w:val="26"/>
          <w:szCs w:val="26"/>
        </w:rPr>
        <w:t>его приобретение (за вычетом суммы НДС)</w:t>
      </w:r>
      <w:r w:rsidR="002E76A9" w:rsidRPr="00CF74EF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14:paraId="0058A0C9" w14:textId="04C5CC58" w:rsidR="00DE1221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lastRenderedPageBreak/>
        <w:t>3.1</w:t>
      </w:r>
      <w:r w:rsidR="00C92161" w:rsidRPr="00CF74EF">
        <w:rPr>
          <w:sz w:val="26"/>
          <w:szCs w:val="26"/>
        </w:rPr>
        <w:t>2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 xml:space="preserve">Решение о видах и объеме (изменении вида или объема) Обеспечения, отнесении его к конкретным проектам, предлагаемым к финансированию, принимает </w:t>
      </w:r>
      <w:r w:rsidR="00F61025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>.</w:t>
      </w:r>
    </w:p>
    <w:p w14:paraId="631CFA49" w14:textId="44549EC7" w:rsidR="00DE1221" w:rsidRPr="00CF74EF" w:rsidRDefault="00D31733" w:rsidP="00D31733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3.1</w:t>
      </w:r>
      <w:r w:rsidR="00C92161" w:rsidRPr="00CF74EF">
        <w:rPr>
          <w:sz w:val="26"/>
          <w:szCs w:val="26"/>
        </w:rPr>
        <w:t>3</w:t>
      </w:r>
      <w:r w:rsidRPr="00CF74EF">
        <w:rPr>
          <w:sz w:val="26"/>
          <w:szCs w:val="26"/>
        </w:rPr>
        <w:t>. </w:t>
      </w:r>
      <w:r w:rsidR="00DE1221" w:rsidRPr="00CF74EF">
        <w:rPr>
          <w:sz w:val="26"/>
          <w:szCs w:val="26"/>
        </w:rPr>
        <w:t>Оформление Обеспечения осуществляется за счет Заемщика, включая расходы по нотариальному заверени</w:t>
      </w:r>
      <w:r w:rsidR="00F61025" w:rsidRPr="00CF74EF">
        <w:rPr>
          <w:sz w:val="26"/>
          <w:szCs w:val="26"/>
        </w:rPr>
        <w:t>ю</w:t>
      </w:r>
      <w:r w:rsidR="00410FB2" w:rsidRPr="00CF74EF">
        <w:rPr>
          <w:sz w:val="26"/>
          <w:szCs w:val="26"/>
        </w:rPr>
        <w:t>.</w:t>
      </w:r>
    </w:p>
    <w:p w14:paraId="69BAB65C" w14:textId="77777777" w:rsidR="00D31733" w:rsidRPr="00CF74EF" w:rsidRDefault="00D31733" w:rsidP="00D31733">
      <w:pPr>
        <w:pStyle w:val="Textbody"/>
        <w:rPr>
          <w:lang w:eastAsia="ru-RU"/>
        </w:rPr>
      </w:pPr>
    </w:p>
    <w:p w14:paraId="3AF2C89B" w14:textId="77777777" w:rsidR="00DE1221" w:rsidRDefault="002A757A" w:rsidP="002A757A">
      <w:pPr>
        <w:pStyle w:val="2"/>
        <w:tabs>
          <w:tab w:val="clear" w:pos="397"/>
        </w:tabs>
        <w:spacing w:before="0"/>
        <w:ind w:firstLine="0"/>
        <w:jc w:val="center"/>
        <w:rPr>
          <w:b/>
          <w:sz w:val="26"/>
          <w:szCs w:val="26"/>
        </w:rPr>
      </w:pPr>
      <w:r w:rsidRPr="00CF74EF">
        <w:rPr>
          <w:b/>
          <w:sz w:val="26"/>
          <w:szCs w:val="26"/>
        </w:rPr>
        <w:t>4. </w:t>
      </w:r>
      <w:r w:rsidR="00DE1221" w:rsidRPr="00CF74EF">
        <w:rPr>
          <w:b/>
          <w:sz w:val="26"/>
          <w:szCs w:val="26"/>
        </w:rPr>
        <w:t>Ковенанты</w:t>
      </w:r>
    </w:p>
    <w:p w14:paraId="68B8868E" w14:textId="77777777" w:rsidR="00B44833" w:rsidRPr="00B44833" w:rsidRDefault="00B44833" w:rsidP="00B44833">
      <w:pPr>
        <w:pStyle w:val="Textbody"/>
        <w:rPr>
          <w:lang w:eastAsia="ru-RU"/>
        </w:rPr>
      </w:pPr>
    </w:p>
    <w:p w14:paraId="0F06AC57" w14:textId="2DFCDC17" w:rsidR="00DE1221" w:rsidRPr="00CF74EF" w:rsidRDefault="002A757A" w:rsidP="002A757A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4.1. </w:t>
      </w:r>
      <w:r w:rsidR="00DE1221" w:rsidRPr="00CF74EF">
        <w:rPr>
          <w:sz w:val="26"/>
          <w:szCs w:val="26"/>
        </w:rPr>
        <w:t xml:space="preserve">В целях обеспечения возврата Займа </w:t>
      </w:r>
      <w:r w:rsidR="00975AB0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в Договорах займа устанавливает ковенанты, которые могут быть типовыми и дополнительными. Основная цель установления таких ограничений – снижение рисков невозврата средств, предоставленных в качестве финансовой.</w:t>
      </w:r>
    </w:p>
    <w:p w14:paraId="0E0E4AC5" w14:textId="77777777" w:rsidR="00DE1221" w:rsidRPr="00CF74EF" w:rsidRDefault="002A757A" w:rsidP="002A757A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i/>
          <w:iCs/>
          <w:sz w:val="26"/>
          <w:szCs w:val="26"/>
        </w:rPr>
        <w:t>4.2. </w:t>
      </w:r>
      <w:r w:rsidR="00DE1221" w:rsidRPr="00CF74EF">
        <w:rPr>
          <w:i/>
          <w:iCs/>
          <w:sz w:val="26"/>
          <w:szCs w:val="26"/>
        </w:rPr>
        <w:t xml:space="preserve">Типовые ковенанты </w:t>
      </w:r>
      <w:r w:rsidR="00F12A6F" w:rsidRPr="00CF74EF">
        <w:rPr>
          <w:i/>
          <w:iCs/>
          <w:sz w:val="26"/>
          <w:szCs w:val="26"/>
        </w:rPr>
        <w:t>применяются для всех Заемщиков</w:t>
      </w:r>
      <w:r w:rsidR="00F12A6F" w:rsidRPr="00CF74EF">
        <w:rPr>
          <w:sz w:val="26"/>
          <w:szCs w:val="26"/>
        </w:rPr>
        <w:t>.</w:t>
      </w:r>
      <w:r w:rsidR="00F61025" w:rsidRPr="00CF74EF">
        <w:rPr>
          <w:sz w:val="26"/>
          <w:szCs w:val="26"/>
        </w:rPr>
        <w:t xml:space="preserve"> </w:t>
      </w:r>
      <w:r w:rsidR="00DE1221" w:rsidRPr="00CF74EF">
        <w:rPr>
          <w:i/>
          <w:iCs/>
          <w:sz w:val="26"/>
          <w:szCs w:val="26"/>
        </w:rPr>
        <w:t>В качестве типовых ковенант</w:t>
      </w:r>
      <w:r w:rsidR="008C526D" w:rsidRPr="00CF74EF">
        <w:rPr>
          <w:i/>
          <w:iCs/>
          <w:sz w:val="26"/>
          <w:szCs w:val="26"/>
        </w:rPr>
        <w:t xml:space="preserve"> </w:t>
      </w:r>
      <w:r w:rsidR="00975AB0" w:rsidRPr="00CF74EF">
        <w:rPr>
          <w:i/>
          <w:iCs/>
          <w:sz w:val="26"/>
          <w:szCs w:val="26"/>
        </w:rPr>
        <w:t>РФРП</w:t>
      </w:r>
      <w:r w:rsidR="00DE1221" w:rsidRPr="00CF74EF">
        <w:rPr>
          <w:i/>
          <w:iCs/>
          <w:sz w:val="26"/>
          <w:szCs w:val="26"/>
        </w:rPr>
        <w:t xml:space="preserve"> применяет следующие условия</w:t>
      </w:r>
      <w:r w:rsidR="00DE1221" w:rsidRPr="00CF74EF">
        <w:rPr>
          <w:sz w:val="26"/>
          <w:szCs w:val="26"/>
        </w:rPr>
        <w:t>:</w:t>
      </w:r>
    </w:p>
    <w:p w14:paraId="55570DC7" w14:textId="77777777" w:rsidR="00DE1221" w:rsidRPr="00CF74EF" w:rsidRDefault="00DE1221" w:rsidP="005F457D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неисполнение или ненадлежащее исполнение Заемщиком обязательств перед </w:t>
      </w:r>
      <w:r w:rsidR="00975AB0" w:rsidRPr="00CF74EF">
        <w:rPr>
          <w:sz w:val="26"/>
          <w:szCs w:val="26"/>
        </w:rPr>
        <w:t>РФРП</w:t>
      </w:r>
      <w:r w:rsidRPr="00CF74EF">
        <w:rPr>
          <w:sz w:val="26"/>
          <w:szCs w:val="26"/>
        </w:rPr>
        <w:t xml:space="preserve"> по договору, в </w:t>
      </w:r>
      <w:r w:rsidR="000162D5" w:rsidRPr="00CF74EF">
        <w:rPr>
          <w:sz w:val="26"/>
          <w:szCs w:val="26"/>
        </w:rPr>
        <w:t>том числе</w:t>
      </w:r>
      <w:r w:rsidRPr="00CF74EF">
        <w:rPr>
          <w:sz w:val="26"/>
          <w:szCs w:val="26"/>
        </w:rPr>
        <w:t xml:space="preserve"> несвоевременное/неполное исполнение денежных обязательств, несвоевременное предоставление отчетности, предоставление </w:t>
      </w:r>
      <w:r w:rsidR="000225BC" w:rsidRPr="00CF74EF">
        <w:rPr>
          <w:sz w:val="26"/>
          <w:szCs w:val="26"/>
        </w:rPr>
        <w:t xml:space="preserve">РФРП </w:t>
      </w:r>
      <w:r w:rsidRPr="00CF74EF">
        <w:rPr>
          <w:sz w:val="26"/>
          <w:szCs w:val="26"/>
        </w:rPr>
        <w:t>недостоверной отчетности, использование Займа (части Займа) не по целевому назначению;</w:t>
      </w:r>
    </w:p>
    <w:p w14:paraId="07B87D90" w14:textId="77777777" w:rsidR="00DE1221" w:rsidRPr="00CF74EF" w:rsidRDefault="00DE1221" w:rsidP="005F457D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утрата/ухудшение Обеспечения исполнения обязательств по договору или условий такого Обеспечения (включая несоответствие требованию о достаточности), в случае если Заемщик не предоставил иное Обеспечение в сроки, установленные </w:t>
      </w:r>
      <w:r w:rsidR="000225BC" w:rsidRPr="00CF74EF">
        <w:rPr>
          <w:sz w:val="26"/>
          <w:szCs w:val="26"/>
        </w:rPr>
        <w:t>С</w:t>
      </w:r>
      <w:r w:rsidRPr="00CF74EF">
        <w:rPr>
          <w:sz w:val="26"/>
          <w:szCs w:val="26"/>
        </w:rPr>
        <w:t>тандартом;</w:t>
      </w:r>
    </w:p>
    <w:p w14:paraId="4BB5B0DD" w14:textId="77777777" w:rsidR="00DE1221" w:rsidRPr="00CF74EF" w:rsidRDefault="007D7215" w:rsidP="005F457D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>принятие в отношении Заемщика</w:t>
      </w:r>
      <w:r w:rsidR="00DE1221" w:rsidRPr="00CF74EF">
        <w:rPr>
          <w:sz w:val="26"/>
          <w:szCs w:val="26"/>
        </w:rPr>
        <w:t>/Лица, предоставившего обеспечение исполнения обязательств Заемщика по договору (поручителя, гаранта), органом управления такого Лица или уполномоченным государственным (муниципальным) органом решения о реорганизации (за исключением реорганизации в форме преобразования, присоединения, слияния);</w:t>
      </w:r>
    </w:p>
    <w:p w14:paraId="144EE6EE" w14:textId="77777777" w:rsidR="00DE1221" w:rsidRPr="00CF74EF" w:rsidRDefault="00DE1221" w:rsidP="006963C4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наличие вступившего в законную силу решения суда первой инстанции о взыскании денежных средств или об </w:t>
      </w:r>
      <w:r w:rsidR="00F61025" w:rsidRPr="00CF74EF">
        <w:rPr>
          <w:sz w:val="26"/>
          <w:szCs w:val="26"/>
        </w:rPr>
        <w:t>истребовании имущества Заемщика</w:t>
      </w:r>
      <w:r w:rsidR="006963C4" w:rsidRPr="00CF74EF">
        <w:rPr>
          <w:sz w:val="26"/>
          <w:szCs w:val="26"/>
        </w:rPr>
        <w:t xml:space="preserve">, </w:t>
      </w:r>
      <w:r w:rsidR="00B81236" w:rsidRPr="00CF74EF">
        <w:rPr>
          <w:sz w:val="26"/>
          <w:szCs w:val="26"/>
        </w:rPr>
        <w:t>если сумма иска (исков) составляет более 10% балансовой стоимости активов Заемщика</w:t>
      </w:r>
      <w:r w:rsidRPr="00CF74EF">
        <w:rPr>
          <w:sz w:val="26"/>
          <w:szCs w:val="26"/>
        </w:rPr>
        <w:t xml:space="preserve">; </w:t>
      </w:r>
    </w:p>
    <w:p w14:paraId="31FDE75E" w14:textId="77777777" w:rsidR="003079B1" w:rsidRPr="00CF74EF" w:rsidRDefault="008124FD" w:rsidP="00AD104E">
      <w:pPr>
        <w:pStyle w:val="Textbody"/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 </w:t>
      </w:r>
      <w:r w:rsidR="003079B1" w:rsidRPr="00CF74EF">
        <w:rPr>
          <w:rFonts w:ascii="Times New Roman" w:hAnsi="Times New Roman" w:cs="Times New Roman"/>
          <w:sz w:val="26"/>
          <w:szCs w:val="26"/>
          <w:lang w:eastAsia="ru-RU"/>
        </w:rPr>
        <w:t>наличие возбужденных в отношении Заемщика исполнительных производств, если общая сумма требований по ним составляет более 10% балансовой стоимости активов Заемщика;</w:t>
      </w:r>
    </w:p>
    <w:p w14:paraId="74A1CFBF" w14:textId="77777777" w:rsidR="00DE1221" w:rsidRPr="00CF74EF" w:rsidRDefault="00DE1221" w:rsidP="00AD104E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выявление </w:t>
      </w:r>
      <w:r w:rsidR="000225BC" w:rsidRPr="00CF74EF">
        <w:rPr>
          <w:sz w:val="26"/>
          <w:szCs w:val="26"/>
        </w:rPr>
        <w:t>РФРП</w:t>
      </w:r>
      <w:r w:rsidRPr="00CF74EF">
        <w:rPr>
          <w:sz w:val="26"/>
          <w:szCs w:val="26"/>
        </w:rPr>
        <w:t xml:space="preserve"> факта предоставления Заемщиком недостоверной информации, заявлений или гарантий;</w:t>
      </w:r>
    </w:p>
    <w:p w14:paraId="7EABC0FA" w14:textId="77777777" w:rsidR="00DE1221" w:rsidRPr="00CF74EF" w:rsidRDefault="00DE1221" w:rsidP="005F457D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 xml:space="preserve">отмена, аннулирование, приостановление или иное ограничение в действии какого-либо разрешения или лицензии Заемщика </w:t>
      </w:r>
      <w:r w:rsidR="005870EB" w:rsidRPr="00CF74EF">
        <w:rPr>
          <w:sz w:val="26"/>
          <w:szCs w:val="26"/>
        </w:rPr>
        <w:t>и (или)</w:t>
      </w:r>
      <w:r w:rsidRPr="00CF74EF">
        <w:rPr>
          <w:sz w:val="26"/>
          <w:szCs w:val="26"/>
        </w:rPr>
        <w:t xml:space="preserve"> Лица (лиц), предоставившего обеспечение, которое препятствует должному исполнению или делает невозможным исполнение обязательств по возврату Займа или реализации </w:t>
      </w:r>
      <w:r w:rsidR="007E64BA" w:rsidRPr="00CF74EF">
        <w:rPr>
          <w:sz w:val="26"/>
          <w:szCs w:val="26"/>
        </w:rPr>
        <w:t>п</w:t>
      </w:r>
      <w:r w:rsidR="00F61025" w:rsidRPr="00CF74EF">
        <w:rPr>
          <w:sz w:val="26"/>
          <w:szCs w:val="26"/>
        </w:rPr>
        <w:t>роекта</w:t>
      </w:r>
      <w:r w:rsidRPr="00CF74EF">
        <w:rPr>
          <w:sz w:val="26"/>
          <w:szCs w:val="26"/>
        </w:rPr>
        <w:t>.</w:t>
      </w:r>
    </w:p>
    <w:p w14:paraId="1E173AEC" w14:textId="77777777" w:rsidR="00DE1221" w:rsidRPr="00CF74EF" w:rsidRDefault="005F457D" w:rsidP="005F457D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4.3. </w:t>
      </w:r>
      <w:r w:rsidR="00DE1221" w:rsidRPr="00CF74EF">
        <w:rPr>
          <w:sz w:val="26"/>
          <w:szCs w:val="26"/>
        </w:rPr>
        <w:t xml:space="preserve">В сроки, определенные договором Займа, Заемщик обязан информировать </w:t>
      </w:r>
      <w:r w:rsidR="00BA5CAE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об обстоятельствах, имеющих существенное значение для оценки финансово-экон</w:t>
      </w:r>
      <w:r w:rsidR="00C15014" w:rsidRPr="00CF74EF">
        <w:rPr>
          <w:sz w:val="26"/>
          <w:szCs w:val="26"/>
        </w:rPr>
        <w:t>омического состояния Заемщика/</w:t>
      </w:r>
      <w:r w:rsidR="00DE1221" w:rsidRPr="00CF74EF">
        <w:rPr>
          <w:sz w:val="26"/>
          <w:szCs w:val="26"/>
        </w:rPr>
        <w:t>лица, предоставившего обеспечение по займу, и его способности исполнять обязательства по Займу/предоставленному обеспечению:</w:t>
      </w:r>
    </w:p>
    <w:p w14:paraId="7C3C2C33" w14:textId="77777777" w:rsidR="00DE1221" w:rsidRPr="00CF74EF" w:rsidRDefault="00905AE1" w:rsidP="007534B3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-</w:t>
      </w:r>
      <w:r w:rsidR="00C15014" w:rsidRPr="00CF74EF">
        <w:rPr>
          <w:sz w:val="26"/>
          <w:szCs w:val="26"/>
        </w:rPr>
        <w:t> </w:t>
      </w:r>
      <w:r w:rsidR="00DE1221" w:rsidRPr="00CF74EF">
        <w:rPr>
          <w:sz w:val="26"/>
          <w:szCs w:val="26"/>
        </w:rPr>
        <w:t xml:space="preserve">приостановление операций по счету Заемщика, </w:t>
      </w:r>
    </w:p>
    <w:p w14:paraId="2B7890C6" w14:textId="77777777" w:rsidR="00DE1221" w:rsidRPr="00CF74EF" w:rsidRDefault="005F457D" w:rsidP="007534B3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-</w:t>
      </w:r>
      <w:r w:rsidR="00C15014" w:rsidRPr="00CF74EF">
        <w:rPr>
          <w:sz w:val="26"/>
          <w:szCs w:val="26"/>
        </w:rPr>
        <w:t> </w:t>
      </w:r>
      <w:r w:rsidR="00DE1221" w:rsidRPr="00CF74EF">
        <w:rPr>
          <w:sz w:val="26"/>
          <w:szCs w:val="26"/>
        </w:rPr>
        <w:t>обращение взыскания на денежные средства на счете Заемщика;</w:t>
      </w:r>
    </w:p>
    <w:p w14:paraId="4B56B34D" w14:textId="77777777" w:rsidR="00DE1221" w:rsidRPr="00CF74EF" w:rsidRDefault="00905AE1" w:rsidP="007534B3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-</w:t>
      </w:r>
      <w:r w:rsidR="00C15014" w:rsidRPr="00CF74EF">
        <w:rPr>
          <w:sz w:val="26"/>
          <w:szCs w:val="26"/>
        </w:rPr>
        <w:t> </w:t>
      </w:r>
      <w:r w:rsidR="00DE1221" w:rsidRPr="00CF74EF">
        <w:rPr>
          <w:sz w:val="26"/>
          <w:szCs w:val="26"/>
        </w:rPr>
        <w:t>о п</w:t>
      </w:r>
      <w:r w:rsidR="00F12A6F" w:rsidRPr="00CF74EF">
        <w:rPr>
          <w:sz w:val="26"/>
          <w:szCs w:val="26"/>
        </w:rPr>
        <w:t>ринятии в отношении Заемщика/Л</w:t>
      </w:r>
      <w:r w:rsidR="00DE1221" w:rsidRPr="00CF74EF">
        <w:rPr>
          <w:sz w:val="26"/>
          <w:szCs w:val="26"/>
        </w:rPr>
        <w:t xml:space="preserve">ица, предоставившего обеспечение исполнения обязательств Заемщика по договору, уполномоченным органом такого </w:t>
      </w:r>
      <w:r w:rsidR="00DE1221" w:rsidRPr="00CF74EF">
        <w:rPr>
          <w:sz w:val="26"/>
          <w:szCs w:val="26"/>
        </w:rPr>
        <w:lastRenderedPageBreak/>
        <w:t>лица решения о ликвидации;</w:t>
      </w:r>
    </w:p>
    <w:p w14:paraId="582973BA" w14:textId="77777777" w:rsidR="00DE1221" w:rsidRPr="00CF74EF" w:rsidRDefault="00905AE1" w:rsidP="007534B3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-</w:t>
      </w:r>
      <w:r w:rsidR="00C15014" w:rsidRPr="00CF74EF">
        <w:rPr>
          <w:sz w:val="26"/>
          <w:szCs w:val="26"/>
        </w:rPr>
        <w:t> </w:t>
      </w:r>
      <w:r w:rsidR="00DE1221" w:rsidRPr="00CF74EF">
        <w:rPr>
          <w:sz w:val="26"/>
          <w:szCs w:val="26"/>
        </w:rPr>
        <w:t xml:space="preserve">о соблюдении условий, установленных </w:t>
      </w:r>
      <w:r w:rsidR="00AF4FAB" w:rsidRPr="00CF74EF">
        <w:rPr>
          <w:sz w:val="26"/>
          <w:szCs w:val="26"/>
        </w:rPr>
        <w:t>договором займа/обеспечения</w:t>
      </w:r>
      <w:r w:rsidR="007D7215" w:rsidRPr="00CF74EF">
        <w:rPr>
          <w:sz w:val="26"/>
          <w:szCs w:val="26"/>
        </w:rPr>
        <w:t xml:space="preserve"> </w:t>
      </w:r>
      <w:r w:rsidR="00DE1221" w:rsidRPr="00CF74EF">
        <w:rPr>
          <w:sz w:val="26"/>
          <w:szCs w:val="26"/>
        </w:rPr>
        <w:t>и подтверждающих устойчивое финансовое положение лица, предоставившего обеспечение;</w:t>
      </w:r>
    </w:p>
    <w:p w14:paraId="49498FD8" w14:textId="77777777" w:rsidR="00DE1221" w:rsidRPr="00CF74EF" w:rsidRDefault="00905AE1" w:rsidP="00905AE1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-</w:t>
      </w:r>
      <w:r w:rsidR="00C15014" w:rsidRPr="00CF74EF">
        <w:rPr>
          <w:sz w:val="26"/>
          <w:szCs w:val="26"/>
        </w:rPr>
        <w:t> </w:t>
      </w:r>
      <w:r w:rsidR="00DE1221" w:rsidRPr="00CF74EF">
        <w:rPr>
          <w:sz w:val="26"/>
          <w:szCs w:val="26"/>
        </w:rPr>
        <w:t>о неисполнении Заемщиком более 30 календарных дней любого платежного обязательства по кредитным договорам/договорам з</w:t>
      </w:r>
      <w:r w:rsidRPr="00CF74EF">
        <w:rPr>
          <w:sz w:val="26"/>
          <w:szCs w:val="26"/>
        </w:rPr>
        <w:t>айма Заемщика с третьими лицами</w:t>
      </w:r>
      <w:r w:rsidR="00DE1221" w:rsidRPr="00CF74EF">
        <w:rPr>
          <w:sz w:val="26"/>
          <w:szCs w:val="26"/>
        </w:rPr>
        <w:t>.</w:t>
      </w:r>
    </w:p>
    <w:p w14:paraId="2620332D" w14:textId="77777777" w:rsidR="00A74162" w:rsidRDefault="00A74162" w:rsidP="007534B3">
      <w:pPr>
        <w:pStyle w:val="Textbody"/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B7C023D" w14:textId="77777777" w:rsidR="00074A3F" w:rsidRPr="00CF74EF" w:rsidRDefault="00074A3F" w:rsidP="007534B3">
      <w:pPr>
        <w:pStyle w:val="Textbody"/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C5819CB" w14:textId="58941D38" w:rsidR="00DE1221" w:rsidRDefault="00D34569" w:rsidP="00D34569">
      <w:pPr>
        <w:pStyle w:val="2"/>
        <w:tabs>
          <w:tab w:val="clear" w:pos="397"/>
        </w:tabs>
        <w:spacing w:before="0"/>
        <w:ind w:firstLine="0"/>
        <w:jc w:val="center"/>
        <w:rPr>
          <w:b/>
          <w:sz w:val="26"/>
          <w:szCs w:val="26"/>
        </w:rPr>
      </w:pPr>
      <w:r w:rsidRPr="00CF74EF">
        <w:rPr>
          <w:b/>
          <w:sz w:val="26"/>
          <w:szCs w:val="26"/>
        </w:rPr>
        <w:t>5. </w:t>
      </w:r>
      <w:r w:rsidR="00DE1221" w:rsidRPr="00CF74EF">
        <w:rPr>
          <w:b/>
          <w:sz w:val="26"/>
          <w:szCs w:val="26"/>
        </w:rPr>
        <w:t xml:space="preserve">Управление обеспечением возврата </w:t>
      </w:r>
      <w:r w:rsidR="000E09B6" w:rsidRPr="00CF74EF">
        <w:rPr>
          <w:b/>
          <w:sz w:val="26"/>
          <w:szCs w:val="26"/>
        </w:rPr>
        <w:t>займа</w:t>
      </w:r>
      <w:r w:rsidR="00DE1221" w:rsidRPr="00CF74EF">
        <w:rPr>
          <w:b/>
          <w:sz w:val="26"/>
          <w:szCs w:val="26"/>
        </w:rPr>
        <w:t xml:space="preserve"> на стадии экспертизы </w:t>
      </w:r>
      <w:r w:rsidR="00AC27E6" w:rsidRPr="00CF74EF">
        <w:rPr>
          <w:b/>
          <w:sz w:val="26"/>
          <w:szCs w:val="26"/>
        </w:rPr>
        <w:t xml:space="preserve">проекта </w:t>
      </w:r>
      <w:r w:rsidR="00DE1221" w:rsidRPr="00CF74EF">
        <w:rPr>
          <w:b/>
          <w:sz w:val="26"/>
          <w:szCs w:val="26"/>
        </w:rPr>
        <w:t>и оформления договора займа</w:t>
      </w:r>
    </w:p>
    <w:p w14:paraId="7A29215D" w14:textId="77777777" w:rsidR="00B44833" w:rsidRPr="00B44833" w:rsidRDefault="00B44833" w:rsidP="00B44833">
      <w:pPr>
        <w:pStyle w:val="Textbody"/>
        <w:rPr>
          <w:lang w:eastAsia="ru-RU"/>
        </w:rPr>
      </w:pPr>
    </w:p>
    <w:p w14:paraId="1AE24F6C" w14:textId="77777777" w:rsidR="00DE1221" w:rsidRPr="00CF74EF" w:rsidRDefault="00D34569" w:rsidP="00D34569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5.1. </w:t>
      </w:r>
      <w:r w:rsidR="00DE1221" w:rsidRPr="00CF74EF">
        <w:rPr>
          <w:i/>
          <w:iCs/>
          <w:sz w:val="26"/>
          <w:szCs w:val="26"/>
        </w:rPr>
        <w:t>Управление обеспечением возврата Займ</w:t>
      </w:r>
      <w:r w:rsidR="000E09B6" w:rsidRPr="00CF74EF">
        <w:rPr>
          <w:i/>
          <w:iCs/>
          <w:sz w:val="26"/>
          <w:szCs w:val="26"/>
        </w:rPr>
        <w:t>а</w:t>
      </w:r>
      <w:r w:rsidR="00DE1221" w:rsidRPr="00CF74EF">
        <w:rPr>
          <w:i/>
          <w:iCs/>
          <w:sz w:val="26"/>
          <w:szCs w:val="26"/>
        </w:rPr>
        <w:t xml:space="preserve"> на стадии экспертизы и оформления Договора займа включает следующие мероприятия</w:t>
      </w:r>
      <w:r w:rsidR="00DE1221" w:rsidRPr="00CF74EF">
        <w:rPr>
          <w:sz w:val="26"/>
          <w:szCs w:val="26"/>
        </w:rPr>
        <w:t>:</w:t>
      </w:r>
    </w:p>
    <w:p w14:paraId="770DB16E" w14:textId="77777777" w:rsidR="00DE1221" w:rsidRPr="00CF74EF" w:rsidRDefault="00DE1221" w:rsidP="00D34569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>изучение качества предложенного обеспечения или финансового состояния лица, предоставляющего обеспечение;</w:t>
      </w:r>
    </w:p>
    <w:p w14:paraId="635CC8F0" w14:textId="77777777" w:rsidR="00D74CDE" w:rsidRPr="00CF74EF" w:rsidRDefault="00EB3A48" w:rsidP="00D34569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</w:r>
      <w:r w:rsidR="00D74CDE" w:rsidRPr="00CF74EF">
        <w:rPr>
          <w:sz w:val="26"/>
          <w:szCs w:val="26"/>
        </w:rPr>
        <w:t xml:space="preserve">проверка правоспособности лица, предоставляющего Обеспечение, и его прав на имущество, предоставляемое в залог; </w:t>
      </w:r>
    </w:p>
    <w:p w14:paraId="79958250" w14:textId="77777777" w:rsidR="00DE1221" w:rsidRPr="00CF74EF" w:rsidRDefault="00DE1221" w:rsidP="00D34569">
      <w:pPr>
        <w:pStyle w:val="2"/>
        <w:tabs>
          <w:tab w:val="clear" w:pos="397"/>
          <w:tab w:val="left" w:pos="993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•</w:t>
      </w:r>
      <w:r w:rsidRPr="00CF74EF">
        <w:rPr>
          <w:sz w:val="26"/>
          <w:szCs w:val="26"/>
        </w:rPr>
        <w:tab/>
        <w:t>подго</w:t>
      </w:r>
      <w:r w:rsidR="00FA7BAB" w:rsidRPr="00CF74EF">
        <w:rPr>
          <w:sz w:val="26"/>
          <w:szCs w:val="26"/>
        </w:rPr>
        <w:t>товка соответствующих договоров</w:t>
      </w:r>
      <w:r w:rsidRPr="00CF74EF">
        <w:rPr>
          <w:sz w:val="26"/>
          <w:szCs w:val="26"/>
        </w:rPr>
        <w:t xml:space="preserve"> </w:t>
      </w:r>
      <w:r w:rsidR="00FA7BAB" w:rsidRPr="00CF74EF">
        <w:rPr>
          <w:sz w:val="26"/>
          <w:szCs w:val="26"/>
        </w:rPr>
        <w:t>(</w:t>
      </w:r>
      <w:r w:rsidRPr="00CF74EF">
        <w:rPr>
          <w:sz w:val="26"/>
          <w:szCs w:val="26"/>
        </w:rPr>
        <w:t>документов</w:t>
      </w:r>
      <w:r w:rsidR="00FA7BAB" w:rsidRPr="00CF74EF">
        <w:rPr>
          <w:sz w:val="26"/>
          <w:szCs w:val="26"/>
        </w:rPr>
        <w:t>)</w:t>
      </w:r>
      <w:r w:rsidRPr="00CF74EF">
        <w:rPr>
          <w:sz w:val="26"/>
          <w:szCs w:val="26"/>
        </w:rPr>
        <w:t xml:space="preserve"> по Обеспечению после принятия решения о предоставлении займа.</w:t>
      </w:r>
    </w:p>
    <w:p w14:paraId="77B5432D" w14:textId="77777777" w:rsidR="00DE1221" w:rsidRPr="00CF74EF" w:rsidRDefault="00B74F35" w:rsidP="00B74F35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5.2. </w:t>
      </w:r>
      <w:r w:rsidR="00DE1221" w:rsidRPr="00CF74EF">
        <w:rPr>
          <w:sz w:val="26"/>
          <w:szCs w:val="26"/>
        </w:rPr>
        <w:t xml:space="preserve">При подаче заявки Заемщик указывает возможные виды предоставляемого Обеспечения с приложением комплекта документов по нему, указанного </w:t>
      </w:r>
      <w:r w:rsidR="00FA7BAB" w:rsidRPr="00CF74EF">
        <w:rPr>
          <w:sz w:val="26"/>
          <w:szCs w:val="26"/>
        </w:rPr>
        <w:t>в Стандарте РФРП,</w:t>
      </w:r>
      <w:r w:rsidR="00DE1221" w:rsidRPr="00CF74EF">
        <w:rPr>
          <w:sz w:val="26"/>
          <w:szCs w:val="26"/>
        </w:rPr>
        <w:t xml:space="preserve"> в зависимости от вида Обеспечения. </w:t>
      </w:r>
    </w:p>
    <w:p w14:paraId="7FDF08F5" w14:textId="77777777" w:rsidR="00DE1221" w:rsidRPr="00CF74EF" w:rsidRDefault="00B74F35" w:rsidP="009B76C7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5.3. </w:t>
      </w:r>
      <w:r w:rsidR="00DE1221" w:rsidRPr="00CF74EF">
        <w:rPr>
          <w:sz w:val="26"/>
          <w:szCs w:val="26"/>
        </w:rPr>
        <w:t xml:space="preserve">Экспертиза полученных </w:t>
      </w:r>
      <w:r w:rsidR="00CD7174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заявок осуществляется в соответствии с</w:t>
      </w:r>
      <w:r w:rsidR="0079663D" w:rsidRPr="00CF74EF">
        <w:rPr>
          <w:sz w:val="26"/>
          <w:szCs w:val="26"/>
        </w:rPr>
        <w:t xml:space="preserve"> требованиями</w:t>
      </w:r>
      <w:r w:rsidR="00DE1221" w:rsidRPr="00CF74EF">
        <w:rPr>
          <w:sz w:val="26"/>
          <w:szCs w:val="26"/>
        </w:rPr>
        <w:t xml:space="preserve"> </w:t>
      </w:r>
      <w:r w:rsidR="0079663D" w:rsidRPr="00CF74EF">
        <w:rPr>
          <w:sz w:val="26"/>
          <w:szCs w:val="26"/>
        </w:rPr>
        <w:t>Стандарта</w:t>
      </w:r>
      <w:r w:rsidR="00DE1221" w:rsidRPr="00CF74EF">
        <w:rPr>
          <w:sz w:val="26"/>
          <w:szCs w:val="26"/>
        </w:rPr>
        <w:t xml:space="preserve"> </w:t>
      </w:r>
      <w:r w:rsidR="00CD7174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. Экспертиза включает анализ качества и достаточности предлагаемого Обеспечения. По результатам экспертизы </w:t>
      </w:r>
      <w:r w:rsidR="00CD7174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могут быть запрошены дополнительные документы по предоставляемому Обеспечению. </w:t>
      </w:r>
    </w:p>
    <w:p w14:paraId="2A67A9B3" w14:textId="77777777" w:rsidR="00DE1221" w:rsidRPr="00CF74EF" w:rsidRDefault="00B74F35" w:rsidP="009B76C7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5.4. </w:t>
      </w:r>
      <w:r w:rsidR="00DE1221" w:rsidRPr="00CF74EF">
        <w:rPr>
          <w:sz w:val="26"/>
          <w:szCs w:val="26"/>
        </w:rPr>
        <w:t xml:space="preserve">По результатам экспертизы </w:t>
      </w:r>
      <w:r w:rsidR="00CD7174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выносит проект на </w:t>
      </w:r>
      <w:r w:rsidR="007E64BA" w:rsidRPr="00CF74EF">
        <w:rPr>
          <w:sz w:val="26"/>
          <w:szCs w:val="26"/>
        </w:rPr>
        <w:t xml:space="preserve">заседание Наблюдательного </w:t>
      </w:r>
      <w:r w:rsidR="00DE1221" w:rsidRPr="00CF74EF">
        <w:rPr>
          <w:sz w:val="26"/>
          <w:szCs w:val="26"/>
        </w:rPr>
        <w:t>совет</w:t>
      </w:r>
      <w:r w:rsidR="007E64BA" w:rsidRPr="00CF74EF">
        <w:rPr>
          <w:sz w:val="26"/>
          <w:szCs w:val="26"/>
        </w:rPr>
        <w:t>а</w:t>
      </w:r>
      <w:r w:rsidR="0025500A" w:rsidRPr="00CF74EF">
        <w:rPr>
          <w:sz w:val="26"/>
          <w:szCs w:val="26"/>
        </w:rPr>
        <w:t>.</w:t>
      </w:r>
    </w:p>
    <w:p w14:paraId="65E5F3E5" w14:textId="77777777" w:rsidR="00DE1221" w:rsidRPr="00CF74EF" w:rsidRDefault="009B76C7" w:rsidP="00292782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5.5. </w:t>
      </w:r>
      <w:r w:rsidR="00DE1221" w:rsidRPr="00CF74EF">
        <w:rPr>
          <w:sz w:val="26"/>
          <w:szCs w:val="26"/>
        </w:rPr>
        <w:t xml:space="preserve">После принятия </w:t>
      </w:r>
      <w:r w:rsidR="007E64BA" w:rsidRPr="00CF74EF">
        <w:rPr>
          <w:sz w:val="26"/>
          <w:szCs w:val="26"/>
        </w:rPr>
        <w:t xml:space="preserve">Наблюдательным </w:t>
      </w:r>
      <w:r w:rsidR="00DE1221" w:rsidRPr="00CF74EF">
        <w:rPr>
          <w:sz w:val="26"/>
          <w:szCs w:val="26"/>
        </w:rPr>
        <w:t xml:space="preserve">советом решения об одобрении предоставления финансирования для реализации проекта </w:t>
      </w:r>
      <w:r w:rsidR="00301303" w:rsidRPr="00CF74EF">
        <w:rPr>
          <w:sz w:val="26"/>
          <w:szCs w:val="26"/>
        </w:rPr>
        <w:t>уполномоченн</w:t>
      </w:r>
      <w:r w:rsidR="002E76A9" w:rsidRPr="00CF74EF">
        <w:rPr>
          <w:sz w:val="26"/>
          <w:szCs w:val="26"/>
        </w:rPr>
        <w:t>ое</w:t>
      </w:r>
      <w:r w:rsidR="00301303" w:rsidRPr="00CF74EF">
        <w:rPr>
          <w:sz w:val="26"/>
          <w:szCs w:val="26"/>
        </w:rPr>
        <w:t xml:space="preserve"> лицо </w:t>
      </w:r>
      <w:r w:rsidR="00CD7174" w:rsidRPr="00CF74EF">
        <w:rPr>
          <w:sz w:val="26"/>
          <w:szCs w:val="26"/>
        </w:rPr>
        <w:t>РФРП</w:t>
      </w:r>
      <w:r w:rsidR="00292782" w:rsidRPr="00CF74EF">
        <w:rPr>
          <w:sz w:val="26"/>
          <w:szCs w:val="26"/>
        </w:rPr>
        <w:t xml:space="preserve"> </w:t>
      </w:r>
      <w:r w:rsidR="0079663D" w:rsidRPr="00CF74EF">
        <w:rPr>
          <w:sz w:val="26"/>
          <w:szCs w:val="26"/>
        </w:rPr>
        <w:t>оформляет процедуру предоставления</w:t>
      </w:r>
      <w:r w:rsidR="00DE1221" w:rsidRPr="00CF74EF">
        <w:rPr>
          <w:sz w:val="26"/>
          <w:szCs w:val="26"/>
        </w:rPr>
        <w:t xml:space="preserve"> Займа</w:t>
      </w:r>
      <w:r w:rsidR="00292782" w:rsidRPr="00CF74EF">
        <w:rPr>
          <w:sz w:val="26"/>
          <w:szCs w:val="26"/>
        </w:rPr>
        <w:t>.</w:t>
      </w:r>
    </w:p>
    <w:p w14:paraId="41CA770D" w14:textId="77777777" w:rsidR="002E76A9" w:rsidRPr="00CF74EF" w:rsidRDefault="009B76C7" w:rsidP="009B76C7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5.6. </w:t>
      </w:r>
      <w:r w:rsidR="00DE1221" w:rsidRPr="00CF74EF">
        <w:rPr>
          <w:sz w:val="26"/>
          <w:szCs w:val="26"/>
        </w:rPr>
        <w:t xml:space="preserve">В случае предоставления Обеспечения в виде недвижимого имущества </w:t>
      </w:r>
      <w:r w:rsidR="00DD35E7" w:rsidRPr="00CF74EF">
        <w:rPr>
          <w:sz w:val="26"/>
          <w:szCs w:val="26"/>
        </w:rPr>
        <w:t>РФРП</w:t>
      </w:r>
      <w:r w:rsidR="00DE1221" w:rsidRPr="00CF74EF">
        <w:rPr>
          <w:sz w:val="26"/>
          <w:szCs w:val="26"/>
        </w:rPr>
        <w:t xml:space="preserve"> в целях обеспечения регистрационных действий выдает заем до государственной регистрации залога (ипотеки) недвижимого имущества.</w:t>
      </w:r>
    </w:p>
    <w:p w14:paraId="0F4605EB" w14:textId="77777777" w:rsidR="00C40550" w:rsidRPr="00CF74EF" w:rsidRDefault="009B76C7" w:rsidP="009B76C7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5.7. </w:t>
      </w:r>
      <w:r w:rsidR="003C3C2A" w:rsidRPr="00CF74EF">
        <w:rPr>
          <w:sz w:val="26"/>
          <w:szCs w:val="26"/>
        </w:rPr>
        <w:t xml:space="preserve">При отказе в государственной регистрации залога (ипотеки) недвижимого имущества Заемщик обязан предложить взамен иное Обеспечение, </w:t>
      </w:r>
      <w:r w:rsidR="0046141E" w:rsidRPr="00CF74EF">
        <w:rPr>
          <w:sz w:val="26"/>
          <w:szCs w:val="26"/>
        </w:rPr>
        <w:t>согласно требованиям Порядка</w:t>
      </w:r>
      <w:r w:rsidR="00264E11" w:rsidRPr="00CF74EF">
        <w:rPr>
          <w:sz w:val="26"/>
          <w:szCs w:val="26"/>
        </w:rPr>
        <w:t>.</w:t>
      </w:r>
      <w:r w:rsidR="003C3C2A" w:rsidRPr="00CF74EF">
        <w:rPr>
          <w:sz w:val="26"/>
          <w:szCs w:val="26"/>
        </w:rPr>
        <w:t xml:space="preserve"> </w:t>
      </w:r>
    </w:p>
    <w:p w14:paraId="0C5DB3D5" w14:textId="77777777" w:rsidR="00081F61" w:rsidRPr="00CF74EF" w:rsidRDefault="00081F61" w:rsidP="007534B3">
      <w:pPr>
        <w:pStyle w:val="Textbody"/>
        <w:spacing w:after="0"/>
        <w:ind w:left="709" w:firstLine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1C8B359" w14:textId="77777777" w:rsidR="00DE1221" w:rsidRDefault="00E445B9" w:rsidP="004A418B">
      <w:pPr>
        <w:pStyle w:val="2"/>
        <w:spacing w:before="0"/>
        <w:ind w:firstLine="0"/>
        <w:jc w:val="center"/>
        <w:rPr>
          <w:b/>
          <w:sz w:val="26"/>
          <w:szCs w:val="26"/>
        </w:rPr>
      </w:pPr>
      <w:r w:rsidRPr="00CF74EF">
        <w:rPr>
          <w:b/>
          <w:sz w:val="26"/>
          <w:szCs w:val="26"/>
        </w:rPr>
        <w:t>6. </w:t>
      </w:r>
      <w:r w:rsidR="001272DC" w:rsidRPr="00CF74EF">
        <w:rPr>
          <w:b/>
          <w:sz w:val="26"/>
          <w:szCs w:val="26"/>
        </w:rPr>
        <w:t>Мониторинг</w:t>
      </w:r>
      <w:r w:rsidR="00DE1221" w:rsidRPr="00CF74EF">
        <w:rPr>
          <w:b/>
          <w:sz w:val="26"/>
          <w:szCs w:val="26"/>
        </w:rPr>
        <w:t xml:space="preserve"> состояния </w:t>
      </w:r>
      <w:r w:rsidR="00CD78FA" w:rsidRPr="00CF74EF">
        <w:rPr>
          <w:b/>
          <w:sz w:val="26"/>
          <w:szCs w:val="26"/>
        </w:rPr>
        <w:t xml:space="preserve">и управление изменением </w:t>
      </w:r>
      <w:r w:rsidR="00DE1221" w:rsidRPr="00CF74EF">
        <w:rPr>
          <w:b/>
          <w:sz w:val="26"/>
          <w:szCs w:val="26"/>
        </w:rPr>
        <w:t>обеспечения</w:t>
      </w:r>
    </w:p>
    <w:p w14:paraId="743BE1E1" w14:textId="77777777" w:rsidR="00B44833" w:rsidRPr="00B44833" w:rsidRDefault="00B44833" w:rsidP="00B44833">
      <w:pPr>
        <w:pStyle w:val="Textbody"/>
        <w:rPr>
          <w:lang w:eastAsia="ru-RU"/>
        </w:rPr>
      </w:pPr>
    </w:p>
    <w:p w14:paraId="0B94FCF5" w14:textId="4531D665" w:rsidR="00E445B9" w:rsidRPr="00CF74EF" w:rsidRDefault="00E445B9" w:rsidP="004A418B">
      <w:pPr>
        <w:pStyle w:val="2"/>
        <w:spacing w:before="0"/>
        <w:ind w:firstLine="709"/>
        <w:rPr>
          <w:sz w:val="26"/>
          <w:szCs w:val="26"/>
        </w:rPr>
      </w:pPr>
      <w:r w:rsidRPr="00CF74EF">
        <w:rPr>
          <w:sz w:val="26"/>
          <w:szCs w:val="26"/>
        </w:rPr>
        <w:t>6.1. </w:t>
      </w:r>
      <w:r w:rsidR="00DE1221" w:rsidRPr="00CF74EF">
        <w:rPr>
          <w:sz w:val="26"/>
          <w:szCs w:val="26"/>
        </w:rPr>
        <w:t xml:space="preserve">В течение срока действия Договора займа </w:t>
      </w:r>
      <w:r w:rsidR="003A438A" w:rsidRPr="00CF74EF">
        <w:rPr>
          <w:sz w:val="26"/>
          <w:szCs w:val="26"/>
        </w:rPr>
        <w:t>РФРП</w:t>
      </w:r>
      <w:r w:rsidRPr="00CF74EF">
        <w:rPr>
          <w:sz w:val="26"/>
          <w:szCs w:val="26"/>
        </w:rPr>
        <w:t xml:space="preserve"> </w:t>
      </w:r>
      <w:r w:rsidR="001272DC" w:rsidRPr="00CF74EF">
        <w:rPr>
          <w:sz w:val="26"/>
          <w:szCs w:val="26"/>
        </w:rPr>
        <w:t xml:space="preserve">осуществляет мониторинг </w:t>
      </w:r>
      <w:r w:rsidR="00DE1221" w:rsidRPr="00CF74EF">
        <w:rPr>
          <w:sz w:val="26"/>
          <w:szCs w:val="26"/>
        </w:rPr>
        <w:t>состояни</w:t>
      </w:r>
      <w:r w:rsidR="001272DC" w:rsidRPr="00CF74EF">
        <w:rPr>
          <w:sz w:val="26"/>
          <w:szCs w:val="26"/>
        </w:rPr>
        <w:t>я</w:t>
      </w:r>
      <w:r w:rsidR="00DE1221" w:rsidRPr="00CF74EF">
        <w:rPr>
          <w:sz w:val="26"/>
          <w:szCs w:val="26"/>
        </w:rPr>
        <w:t xml:space="preserve"> Обеспечения Займа</w:t>
      </w:r>
      <w:r w:rsidR="006C6FB9" w:rsidRPr="00CF74EF">
        <w:rPr>
          <w:sz w:val="26"/>
          <w:szCs w:val="26"/>
        </w:rPr>
        <w:t xml:space="preserve"> согласно</w:t>
      </w:r>
      <w:r w:rsidRPr="00CF74EF">
        <w:rPr>
          <w:sz w:val="26"/>
          <w:szCs w:val="26"/>
        </w:rPr>
        <w:t xml:space="preserve"> </w:t>
      </w:r>
      <w:r w:rsidR="006C6FB9" w:rsidRPr="00CF74EF">
        <w:rPr>
          <w:sz w:val="26"/>
          <w:szCs w:val="26"/>
        </w:rPr>
        <w:t>Порядка государственного фонда развития промышленности Белгородской области по осуществлению мониторинга за возвратом займов, предоставленных субъектам деятельности в сфере промышленности, на реализацию проектов.</w:t>
      </w:r>
    </w:p>
    <w:p w14:paraId="6DB8E924" w14:textId="77777777" w:rsidR="00DE1221" w:rsidRPr="00CF74EF" w:rsidRDefault="00DE1221" w:rsidP="0032695D">
      <w:pPr>
        <w:pStyle w:val="2"/>
        <w:tabs>
          <w:tab w:val="clear" w:pos="397"/>
        </w:tabs>
        <w:spacing w:before="0"/>
        <w:ind w:firstLine="709"/>
        <w:rPr>
          <w:sz w:val="26"/>
          <w:szCs w:val="26"/>
        </w:rPr>
      </w:pPr>
    </w:p>
    <w:p w14:paraId="69D50C5E" w14:textId="77777777" w:rsidR="00822B27" w:rsidRPr="00CF74EF" w:rsidRDefault="000C2D09" w:rsidP="00046028">
      <w:pPr>
        <w:pStyle w:val="1"/>
        <w:pageBreakBefore/>
        <w:tabs>
          <w:tab w:val="left" w:pos="5955"/>
        </w:tabs>
        <w:spacing w:before="0" w:after="0"/>
        <w:ind w:left="4962" w:hanging="284"/>
        <w:jc w:val="center"/>
        <w:rPr>
          <w:b w:val="0"/>
          <w:sz w:val="26"/>
          <w:szCs w:val="26"/>
        </w:rPr>
      </w:pPr>
      <w:bookmarkStart w:id="5" w:name="__RefHeading__1253_1332202174"/>
      <w:bookmarkStart w:id="6" w:name="_Toc469307011"/>
      <w:r w:rsidRPr="00CF74EF">
        <w:rPr>
          <w:b w:val="0"/>
          <w:sz w:val="26"/>
          <w:szCs w:val="26"/>
        </w:rPr>
        <w:lastRenderedPageBreak/>
        <w:t xml:space="preserve">        </w:t>
      </w:r>
      <w:r w:rsidR="000A10ED" w:rsidRPr="00CF74EF">
        <w:rPr>
          <w:b w:val="0"/>
          <w:sz w:val="26"/>
          <w:szCs w:val="26"/>
        </w:rPr>
        <w:t>Приложение № 1</w:t>
      </w:r>
      <w:bookmarkEnd w:id="5"/>
      <w:bookmarkEnd w:id="6"/>
      <w:r w:rsidR="00E333A5" w:rsidRPr="00CF74EF">
        <w:rPr>
          <w:b w:val="0"/>
          <w:sz w:val="26"/>
          <w:szCs w:val="26"/>
        </w:rPr>
        <w:t xml:space="preserve"> </w:t>
      </w:r>
      <w:r w:rsidR="000A10ED" w:rsidRPr="00CF74EF">
        <w:rPr>
          <w:b w:val="0"/>
          <w:sz w:val="26"/>
          <w:szCs w:val="26"/>
        </w:rPr>
        <w:t xml:space="preserve">к </w:t>
      </w:r>
      <w:r w:rsidR="008D2032" w:rsidRPr="00CF74EF">
        <w:rPr>
          <w:b w:val="0"/>
          <w:sz w:val="26"/>
          <w:szCs w:val="26"/>
        </w:rPr>
        <w:t>Порядку</w:t>
      </w:r>
      <w:r w:rsidR="000A10ED" w:rsidRPr="00CF74EF">
        <w:rPr>
          <w:b w:val="0"/>
          <w:sz w:val="26"/>
          <w:szCs w:val="26"/>
        </w:rPr>
        <w:t xml:space="preserve"> </w:t>
      </w:r>
    </w:p>
    <w:p w14:paraId="2D485E45" w14:textId="77777777" w:rsidR="000D05C5" w:rsidRPr="00CF74EF" w:rsidRDefault="000C2D09" w:rsidP="000C2D0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8D2032" w:rsidRPr="00CF74EF">
        <w:rPr>
          <w:rFonts w:ascii="Times New Roman" w:hAnsi="Times New Roman" w:cs="Times New Roman"/>
          <w:bCs/>
          <w:sz w:val="26"/>
          <w:szCs w:val="26"/>
        </w:rPr>
        <w:t>г</w:t>
      </w:r>
      <w:r w:rsidR="000D05C5" w:rsidRPr="00CF74EF">
        <w:rPr>
          <w:rFonts w:ascii="Times New Roman" w:hAnsi="Times New Roman" w:cs="Times New Roman"/>
          <w:bCs/>
          <w:sz w:val="26"/>
          <w:szCs w:val="26"/>
        </w:rPr>
        <w:t xml:space="preserve">осударственного фонда развития </w:t>
      </w:r>
    </w:p>
    <w:p w14:paraId="4C555B07" w14:textId="77777777" w:rsidR="000D05C5" w:rsidRPr="00CF74EF" w:rsidRDefault="000D05C5" w:rsidP="000D05C5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промышленности Белгородской области</w:t>
      </w:r>
    </w:p>
    <w:p w14:paraId="0191ECD8" w14:textId="77777777" w:rsidR="003A103D" w:rsidRPr="00CF74EF" w:rsidRDefault="00046028" w:rsidP="0004602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</w:t>
      </w:r>
      <w:r w:rsidR="000D05C5" w:rsidRPr="00CF74EF">
        <w:rPr>
          <w:rFonts w:ascii="Times New Roman" w:hAnsi="Times New Roman" w:cs="Times New Roman"/>
          <w:bCs/>
          <w:sz w:val="26"/>
          <w:szCs w:val="26"/>
        </w:rPr>
        <w:t xml:space="preserve">«Порядок обеспечения </w:t>
      </w:r>
      <w:r w:rsidRPr="00CF74EF">
        <w:rPr>
          <w:rFonts w:ascii="Times New Roman" w:hAnsi="Times New Roman" w:cs="Times New Roman"/>
          <w:bCs/>
          <w:sz w:val="26"/>
          <w:szCs w:val="26"/>
        </w:rPr>
        <w:t>возврата займов,</w:t>
      </w:r>
    </w:p>
    <w:p w14:paraId="5637D104" w14:textId="77777777" w:rsidR="000D05C5" w:rsidRPr="00CF74EF" w:rsidRDefault="00046028" w:rsidP="0004602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</w:t>
      </w:r>
      <w:r w:rsidR="000D05C5" w:rsidRPr="00CF74EF">
        <w:rPr>
          <w:rFonts w:ascii="Times New Roman" w:hAnsi="Times New Roman" w:cs="Times New Roman"/>
          <w:bCs/>
          <w:sz w:val="26"/>
          <w:szCs w:val="26"/>
        </w:rPr>
        <w:t>предоставленных субъектам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деятельности</w:t>
      </w:r>
    </w:p>
    <w:p w14:paraId="365A6949" w14:textId="78257F7D" w:rsidR="000D05C5" w:rsidRPr="00CF74EF" w:rsidRDefault="00046028" w:rsidP="00046028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</w:t>
      </w:r>
      <w:r w:rsidR="000D05C5" w:rsidRPr="00CF74EF">
        <w:rPr>
          <w:rFonts w:ascii="Times New Roman" w:hAnsi="Times New Roman" w:cs="Times New Roman"/>
          <w:bCs/>
          <w:sz w:val="26"/>
          <w:szCs w:val="26"/>
        </w:rPr>
        <w:t xml:space="preserve">в сфере </w:t>
      </w:r>
      <w:r w:rsidR="00F45710" w:rsidRPr="00CF74EF">
        <w:rPr>
          <w:rFonts w:ascii="Times New Roman" w:hAnsi="Times New Roman" w:cs="Times New Roman"/>
          <w:bCs/>
          <w:sz w:val="26"/>
          <w:szCs w:val="26"/>
        </w:rPr>
        <w:t>промышленности на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реализацию</w:t>
      </w:r>
    </w:p>
    <w:p w14:paraId="4585EADD" w14:textId="23FAAD7F" w:rsidR="000D05C5" w:rsidRPr="00CF74EF" w:rsidRDefault="00046028" w:rsidP="0004602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</w:t>
      </w:r>
      <w:r w:rsidR="000C2D09"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 w:rsidR="000D05C5" w:rsidRPr="00CF74EF">
        <w:rPr>
          <w:rFonts w:ascii="Times New Roman" w:hAnsi="Times New Roman" w:cs="Times New Roman"/>
          <w:bCs/>
          <w:sz w:val="26"/>
          <w:szCs w:val="26"/>
        </w:rPr>
        <w:t>проектов»</w:t>
      </w:r>
    </w:p>
    <w:p w14:paraId="3D8FF5DB" w14:textId="77777777" w:rsidR="000D05C5" w:rsidRPr="00CF74EF" w:rsidRDefault="000D05C5" w:rsidP="000D05C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6D796AB" w14:textId="77777777" w:rsidR="00C13C2B" w:rsidRPr="00CF74EF" w:rsidRDefault="00C13C2B" w:rsidP="00203DDB">
      <w:pPr>
        <w:pStyle w:val="TableParagraph"/>
        <w:ind w:right="-2" w:hanging="28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7BBFC3C" w14:textId="77777777" w:rsidR="00E333A5" w:rsidRPr="00CF74EF" w:rsidRDefault="00E333A5" w:rsidP="00203DDB">
      <w:pPr>
        <w:pStyle w:val="TableParagraph"/>
        <w:ind w:right="-2" w:hanging="284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1C842AA" w14:textId="77777777" w:rsidR="00BA64F5" w:rsidRPr="00CF74EF" w:rsidRDefault="00C13C2B" w:rsidP="00C13C2B">
      <w:pPr>
        <w:pStyle w:val="TableParagraph"/>
        <w:ind w:right="-2"/>
        <w:jc w:val="center"/>
        <w:rPr>
          <w:rFonts w:ascii="Times New Roman" w:eastAsia="SimSun" w:hAnsi="Times New Roman" w:cs="Times New Roman"/>
          <w:b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b/>
          <w:sz w:val="26"/>
          <w:szCs w:val="26"/>
          <w:lang w:val="ru-RU"/>
        </w:rPr>
        <w:t xml:space="preserve">Виды </w:t>
      </w:r>
      <w:r w:rsidR="00292782" w:rsidRPr="00CF74EF">
        <w:rPr>
          <w:rFonts w:ascii="Times New Roman" w:eastAsia="SimSun" w:hAnsi="Times New Roman" w:cs="Times New Roman"/>
          <w:b/>
          <w:sz w:val="26"/>
          <w:szCs w:val="26"/>
          <w:lang w:val="ru-RU"/>
        </w:rPr>
        <w:t>о</w:t>
      </w:r>
      <w:r w:rsidRPr="00CF74EF">
        <w:rPr>
          <w:rFonts w:ascii="Times New Roman" w:eastAsia="SimSun" w:hAnsi="Times New Roman" w:cs="Times New Roman"/>
          <w:b/>
          <w:sz w:val="26"/>
          <w:szCs w:val="26"/>
          <w:lang w:val="ru-RU"/>
        </w:rPr>
        <w:t xml:space="preserve">беспечения, принимаемого </w:t>
      </w:r>
      <w:r w:rsidR="00427082" w:rsidRPr="00CF74EF">
        <w:rPr>
          <w:rFonts w:ascii="Times New Roman" w:eastAsia="SimSun" w:hAnsi="Times New Roman" w:cs="Times New Roman"/>
          <w:b/>
          <w:sz w:val="26"/>
          <w:szCs w:val="26"/>
          <w:lang w:val="ru-RU"/>
        </w:rPr>
        <w:t>РФРП</w:t>
      </w:r>
      <w:r w:rsidRPr="00CF74EF">
        <w:rPr>
          <w:rFonts w:ascii="Times New Roman" w:eastAsia="SimSun" w:hAnsi="Times New Roman" w:cs="Times New Roman"/>
          <w:b/>
          <w:sz w:val="26"/>
          <w:szCs w:val="26"/>
          <w:lang w:val="ru-RU"/>
        </w:rPr>
        <w:t xml:space="preserve"> </w:t>
      </w:r>
    </w:p>
    <w:p w14:paraId="2AB26ECB" w14:textId="77777777" w:rsidR="00195077" w:rsidRPr="00CF74EF" w:rsidRDefault="00195077" w:rsidP="00C13C2B">
      <w:pPr>
        <w:pStyle w:val="TableParagraph"/>
        <w:ind w:right="-2"/>
        <w:jc w:val="center"/>
        <w:rPr>
          <w:rFonts w:ascii="Times New Roman" w:eastAsia="SimSun" w:hAnsi="Times New Roman" w:cs="Times New Roman"/>
          <w:sz w:val="26"/>
          <w:szCs w:val="26"/>
          <w:lang w:val="ru-RU"/>
        </w:rPr>
      </w:pPr>
    </w:p>
    <w:p w14:paraId="1A511F1D" w14:textId="77777777" w:rsidR="00D270FD" w:rsidRPr="00CF74EF" w:rsidRDefault="00D270FD" w:rsidP="00C13C2B">
      <w:pPr>
        <w:pStyle w:val="TableParagraph"/>
        <w:ind w:right="-2"/>
        <w:jc w:val="center"/>
        <w:rPr>
          <w:rFonts w:ascii="Times New Roman" w:eastAsia="SimSun" w:hAnsi="Times New Roman" w:cs="Times New Roman"/>
          <w:sz w:val="26"/>
          <w:szCs w:val="26"/>
          <w:lang w:val="ru-RU"/>
        </w:rPr>
      </w:pPr>
    </w:p>
    <w:p w14:paraId="35236C4F" w14:textId="77777777" w:rsidR="00C13C2B" w:rsidRPr="00CF74EF" w:rsidRDefault="00C13C2B" w:rsidP="0032695D">
      <w:pPr>
        <w:pStyle w:val="TableParagraph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 xml:space="preserve">Независимые гарантии кредитных организаций 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(соответствующи</w:t>
      </w:r>
      <w:r w:rsidR="002E76A9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е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критериям оценки уст</w:t>
      </w:r>
      <w:r w:rsidR="00BB47EB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ойчивости финансового положения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).</w:t>
      </w:r>
    </w:p>
    <w:p w14:paraId="2AFEE532" w14:textId="71438433" w:rsidR="00C13C2B" w:rsidRPr="00CF74EF" w:rsidRDefault="00C13C2B" w:rsidP="0032695D">
      <w:pPr>
        <w:pStyle w:val="TableParagraph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 xml:space="preserve">Гарантии АО </w:t>
      </w:r>
      <w:r w:rsidR="003442FC"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«</w:t>
      </w: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Федеральная корпорация по развитию малого и среднего предпринимательства</w:t>
      </w:r>
      <w:r w:rsidR="001B228F"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 xml:space="preserve">», </w:t>
      </w: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 xml:space="preserve">АО </w:t>
      </w:r>
      <w:r w:rsidR="003442FC"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«</w:t>
      </w: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МСП Банк</w:t>
      </w:r>
      <w:r w:rsidR="003442FC"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»</w:t>
      </w: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.</w:t>
      </w:r>
    </w:p>
    <w:p w14:paraId="0FAB887B" w14:textId="3615438A" w:rsidR="00C13C2B" w:rsidRPr="00CF74EF" w:rsidRDefault="00C13C2B" w:rsidP="0032695D">
      <w:pPr>
        <w:pStyle w:val="TableParagraph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Поручительства юридических л</w:t>
      </w:r>
      <w:r w:rsidR="001752B3"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иц</w:t>
      </w:r>
      <w:r w:rsidR="00430408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(при условии соответствия юридического лица критериям оценки устойчивости финансового</w:t>
      </w:r>
      <w:r w:rsidR="00BB47EB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 xml:space="preserve"> положения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).</w:t>
      </w:r>
    </w:p>
    <w:p w14:paraId="007AF66E" w14:textId="77777777" w:rsidR="005967DE" w:rsidRPr="00CF74EF" w:rsidRDefault="00C13C2B" w:rsidP="0032695D">
      <w:pPr>
        <w:pStyle w:val="TableParagraph"/>
        <w:numPr>
          <w:ilvl w:val="0"/>
          <w:numId w:val="28"/>
        </w:numPr>
        <w:tabs>
          <w:tab w:val="left" w:pos="1134"/>
        </w:tabs>
        <w:ind w:left="0" w:right="-2" w:firstLine="709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b/>
          <w:bCs/>
          <w:sz w:val="26"/>
          <w:szCs w:val="26"/>
          <w:lang w:val="ru-RU"/>
        </w:rPr>
        <w:t>Залог имущества и имущественных прав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, включая следующие:</w:t>
      </w:r>
    </w:p>
    <w:p w14:paraId="084C7F34" w14:textId="77777777" w:rsidR="005967DE" w:rsidRPr="00CF74EF" w:rsidRDefault="00C13C2B" w:rsidP="0032695D">
      <w:pPr>
        <w:pStyle w:val="TableParagraph"/>
        <w:tabs>
          <w:tab w:val="left" w:pos="1134"/>
        </w:tabs>
        <w:ind w:right="-2" w:firstLine="709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sym w:font="Symbol" w:char="F0B7"/>
      </w:r>
      <w:r w:rsidR="00BA64F5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 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недвижимое имущество (промышленная, коммерческая, жилая недвижимость, зарегистрированные объекты незавершенного строительства, земельные участки, права долгосрочной аренды на земельные участки, на которых расположены предлагаемые в залог объекты недвижимости);</w:t>
      </w:r>
    </w:p>
    <w:p w14:paraId="79B8ABEE" w14:textId="77777777" w:rsidR="00203DDB" w:rsidRPr="00CF74EF" w:rsidRDefault="00C13C2B" w:rsidP="0032695D">
      <w:pPr>
        <w:pStyle w:val="TableParagraph"/>
        <w:tabs>
          <w:tab w:val="left" w:pos="1134"/>
        </w:tabs>
        <w:ind w:right="-2" w:firstLine="709"/>
        <w:jc w:val="both"/>
        <w:rPr>
          <w:rFonts w:ascii="Times New Roman" w:eastAsia="SimSun" w:hAnsi="Times New Roman" w:cs="Times New Roman"/>
          <w:sz w:val="26"/>
          <w:szCs w:val="26"/>
          <w:lang w:val="ru-RU"/>
        </w:rPr>
      </w:pP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sym w:font="Symbol" w:char="F0B7"/>
      </w:r>
      <w:r w:rsidR="00BA64F5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 </w:t>
      </w:r>
      <w:r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движимое имущество (оборудование и транспортные средства)</w:t>
      </w:r>
      <w:r w:rsidR="00203DDB" w:rsidRPr="00CF74EF">
        <w:rPr>
          <w:rFonts w:ascii="Times New Roman" w:eastAsia="SimSun" w:hAnsi="Times New Roman" w:cs="Times New Roman"/>
          <w:sz w:val="26"/>
          <w:szCs w:val="26"/>
          <w:lang w:val="ru-RU"/>
        </w:rPr>
        <w:t>.</w:t>
      </w:r>
    </w:p>
    <w:p w14:paraId="3CA8BE16" w14:textId="42CC6396" w:rsidR="00292782" w:rsidRPr="00CF74EF" w:rsidRDefault="00292782" w:rsidP="00CB5A42">
      <w:pPr>
        <w:pStyle w:val="Standard"/>
        <w:numPr>
          <w:ilvl w:val="0"/>
          <w:numId w:val="28"/>
        </w:numPr>
        <w:spacing w:after="0"/>
        <w:ind w:hanging="371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sz w:val="26"/>
          <w:szCs w:val="26"/>
        </w:rPr>
        <w:t>Поручительства физических лиц</w:t>
      </w:r>
      <w:r w:rsidR="006D4140" w:rsidRPr="00CF74EF">
        <w:rPr>
          <w:rFonts w:ascii="Times New Roman" w:hAnsi="Times New Roman" w:cs="Times New Roman"/>
          <w:sz w:val="26"/>
          <w:szCs w:val="26"/>
        </w:rPr>
        <w:t>/индивидуальных предпринимателей</w:t>
      </w:r>
      <w:r w:rsidRPr="00CF74EF">
        <w:rPr>
          <w:rFonts w:ascii="Times New Roman" w:hAnsi="Times New Roman" w:cs="Times New Roman"/>
          <w:sz w:val="26"/>
          <w:szCs w:val="26"/>
        </w:rPr>
        <w:t>.</w:t>
      </w:r>
    </w:p>
    <w:p w14:paraId="30913486" w14:textId="77777777" w:rsidR="00292782" w:rsidRPr="00CF74EF" w:rsidRDefault="004C1B96" w:rsidP="00CB5A42">
      <w:pPr>
        <w:pStyle w:val="Standard"/>
        <w:numPr>
          <w:ilvl w:val="0"/>
          <w:numId w:val="28"/>
        </w:numPr>
        <w:tabs>
          <w:tab w:val="left" w:pos="993"/>
        </w:tabs>
        <w:spacing w:after="0"/>
        <w:ind w:hanging="371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sz w:val="26"/>
          <w:szCs w:val="26"/>
        </w:rPr>
        <w:t xml:space="preserve">Приобретаемое за счет средств займа </w:t>
      </w:r>
      <w:r w:rsidR="00292782" w:rsidRPr="00CF74EF">
        <w:rPr>
          <w:rFonts w:ascii="Times New Roman" w:hAnsi="Times New Roman" w:cs="Times New Roman"/>
          <w:sz w:val="26"/>
          <w:szCs w:val="26"/>
        </w:rPr>
        <w:t>в процессе реализации проекта имущество</w:t>
      </w:r>
      <w:r w:rsidRPr="00CF74EF">
        <w:rPr>
          <w:rFonts w:ascii="Times New Roman" w:hAnsi="Times New Roman" w:cs="Times New Roman"/>
          <w:sz w:val="26"/>
          <w:szCs w:val="26"/>
        </w:rPr>
        <w:t>.</w:t>
      </w:r>
    </w:p>
    <w:p w14:paraId="4D98CD0C" w14:textId="77777777" w:rsidR="00C13C2B" w:rsidRPr="00CF74EF" w:rsidRDefault="00C13C2B" w:rsidP="00195077">
      <w:pPr>
        <w:pStyle w:val="TableParagraph"/>
        <w:ind w:right="-2" w:firstLine="426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9FF336D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E64D648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D7D6166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E0E4658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4AD71F7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CF9DBF6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8782DEF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586DAD5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185C8EA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47980F1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4545F69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3DD3263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7E2C161" w14:textId="77777777" w:rsidR="001752B3" w:rsidRPr="00CF74EF" w:rsidRDefault="001752B3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1216FAB" w14:textId="77777777" w:rsidR="00603F8A" w:rsidRPr="00CF74EF" w:rsidRDefault="00133719" w:rsidP="00603F8A">
      <w:pPr>
        <w:pStyle w:val="1"/>
        <w:pageBreakBefore/>
        <w:tabs>
          <w:tab w:val="left" w:pos="5955"/>
        </w:tabs>
        <w:spacing w:before="0" w:after="0"/>
        <w:ind w:left="4962" w:hanging="284"/>
        <w:jc w:val="center"/>
        <w:rPr>
          <w:b w:val="0"/>
          <w:sz w:val="26"/>
          <w:szCs w:val="26"/>
        </w:rPr>
      </w:pPr>
      <w:bookmarkStart w:id="7" w:name="__RefHeading__1257_1332202174"/>
      <w:bookmarkStart w:id="8" w:name="_Toc469307013"/>
      <w:r w:rsidRPr="00CF74EF">
        <w:rPr>
          <w:b w:val="0"/>
          <w:sz w:val="26"/>
          <w:szCs w:val="26"/>
        </w:rPr>
        <w:lastRenderedPageBreak/>
        <w:t xml:space="preserve">                    </w:t>
      </w:r>
      <w:bookmarkEnd w:id="7"/>
      <w:bookmarkEnd w:id="8"/>
      <w:r w:rsidR="00603F8A" w:rsidRPr="00CF74EF">
        <w:rPr>
          <w:b w:val="0"/>
          <w:sz w:val="26"/>
          <w:szCs w:val="26"/>
        </w:rPr>
        <w:t xml:space="preserve">Приложение № </w:t>
      </w:r>
      <w:r w:rsidR="004C1B96" w:rsidRPr="00CF74EF">
        <w:rPr>
          <w:b w:val="0"/>
          <w:sz w:val="26"/>
          <w:szCs w:val="26"/>
        </w:rPr>
        <w:t>2</w:t>
      </w:r>
      <w:r w:rsidR="00603F8A" w:rsidRPr="00CF74EF">
        <w:rPr>
          <w:b w:val="0"/>
          <w:sz w:val="26"/>
          <w:szCs w:val="26"/>
        </w:rPr>
        <w:t xml:space="preserve"> к Порядку </w:t>
      </w:r>
    </w:p>
    <w:p w14:paraId="3AC5CD43" w14:textId="77777777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государственного фонда развития </w:t>
      </w:r>
    </w:p>
    <w:p w14:paraId="51604A85" w14:textId="77777777" w:rsidR="00603F8A" w:rsidRPr="00CF74EF" w:rsidRDefault="00603F8A" w:rsidP="00603F8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промышленности Белгородской области</w:t>
      </w:r>
    </w:p>
    <w:p w14:paraId="7617BF95" w14:textId="77777777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«Порядок обеспечения возврата займов,</w:t>
      </w:r>
    </w:p>
    <w:p w14:paraId="081DAD38" w14:textId="77777777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предоставленных субъектам деятельности</w:t>
      </w:r>
    </w:p>
    <w:p w14:paraId="758AFB02" w14:textId="69179871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в сфере </w:t>
      </w:r>
      <w:r w:rsidR="00356776" w:rsidRPr="00CF74EF">
        <w:rPr>
          <w:rFonts w:ascii="Times New Roman" w:hAnsi="Times New Roman" w:cs="Times New Roman"/>
          <w:bCs/>
          <w:sz w:val="26"/>
          <w:szCs w:val="26"/>
        </w:rPr>
        <w:t>промышленности на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реализацию</w:t>
      </w:r>
    </w:p>
    <w:p w14:paraId="6FCC685F" w14:textId="62DE9B94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проектов»</w:t>
      </w:r>
    </w:p>
    <w:p w14:paraId="0FCCED0A" w14:textId="77777777" w:rsidR="00603F8A" w:rsidRPr="00CF74EF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3AE5B18" w14:textId="77777777" w:rsidR="001752B3" w:rsidRPr="00CF74EF" w:rsidRDefault="001752B3" w:rsidP="001752B3">
      <w:pPr>
        <w:pStyle w:val="Standard"/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E985FB" w14:textId="77777777" w:rsidR="001752B3" w:rsidRPr="00CF74EF" w:rsidRDefault="001752B3" w:rsidP="001752B3">
      <w:pPr>
        <w:pStyle w:val="Standard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/>
          <w:sz w:val="26"/>
          <w:szCs w:val="26"/>
        </w:rPr>
        <w:t xml:space="preserve">Виды имущества, не принимаемого </w:t>
      </w:r>
      <w:r w:rsidR="0099459B" w:rsidRPr="00CF74EF">
        <w:rPr>
          <w:rFonts w:ascii="Times New Roman" w:hAnsi="Times New Roman" w:cs="Times New Roman"/>
          <w:b/>
          <w:sz w:val="26"/>
          <w:szCs w:val="26"/>
        </w:rPr>
        <w:t>РФРП</w:t>
      </w:r>
      <w:r w:rsidRPr="00CF74EF">
        <w:rPr>
          <w:rFonts w:ascii="Times New Roman" w:hAnsi="Times New Roman" w:cs="Times New Roman"/>
          <w:b/>
          <w:sz w:val="26"/>
          <w:szCs w:val="26"/>
        </w:rPr>
        <w:t xml:space="preserve"> в качестве Обеспечения</w:t>
      </w:r>
    </w:p>
    <w:p w14:paraId="23C5B4FE" w14:textId="77777777" w:rsidR="001752B3" w:rsidRPr="00CF74EF" w:rsidRDefault="001752B3" w:rsidP="001752B3">
      <w:pPr>
        <w:pStyle w:val="Standard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BD40B3" w14:textId="77777777" w:rsidR="001752B3" w:rsidRPr="00CF74EF" w:rsidRDefault="001752B3" w:rsidP="00DD6FBD">
      <w:pPr>
        <w:pStyle w:val="Standard"/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Имущество, залог которого ограничен или запрещен </w:t>
      </w:r>
      <w:r w:rsidR="006335AA" w:rsidRPr="00CF74EF">
        <w:rPr>
          <w:rFonts w:ascii="Times New Roman" w:hAnsi="Times New Roman" w:cs="Times New Roman"/>
          <w:bCs/>
          <w:sz w:val="26"/>
          <w:szCs w:val="26"/>
        </w:rPr>
        <w:t>нормами Гражданского кодекса Российской Федерации</w:t>
      </w:r>
      <w:r w:rsidRPr="00CF74EF">
        <w:rPr>
          <w:rFonts w:ascii="Times New Roman" w:hAnsi="Times New Roman" w:cs="Times New Roman"/>
          <w:bCs/>
          <w:sz w:val="26"/>
          <w:szCs w:val="26"/>
        </w:rPr>
        <w:t>:</w:t>
      </w:r>
    </w:p>
    <w:p w14:paraId="6167F75B" w14:textId="77777777" w:rsidR="001752B3" w:rsidRPr="00CF74EF" w:rsidRDefault="00DD6FBD" w:rsidP="00DD6FBD">
      <w:pPr>
        <w:pStyle w:val="Standard"/>
        <w:widowControl w:val="0"/>
        <w:tabs>
          <w:tab w:val="left" w:pos="426"/>
          <w:tab w:val="left" w:pos="993"/>
        </w:tabs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- 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>объекты</w:t>
      </w:r>
      <w:r w:rsidR="00C40550" w:rsidRPr="00CF74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>гражданских прав</w:t>
      </w:r>
      <w:r w:rsidR="00432E83" w:rsidRPr="00CF74EF">
        <w:rPr>
          <w:rFonts w:ascii="Times New Roman" w:hAnsi="Times New Roman" w:cs="Times New Roman"/>
          <w:bCs/>
          <w:sz w:val="26"/>
          <w:szCs w:val="26"/>
        </w:rPr>
        <w:t>,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 xml:space="preserve"> ограниченные в обороте (ст. 129 </w:t>
      </w:r>
      <w:r w:rsidR="00723BF5" w:rsidRPr="00CF74EF">
        <w:rPr>
          <w:rFonts w:ascii="Times New Roman" w:hAnsi="Times New Roman" w:cs="Times New Roman"/>
          <w:bCs/>
          <w:sz w:val="26"/>
          <w:szCs w:val="26"/>
        </w:rPr>
        <w:t>ГК РФ)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>;</w:t>
      </w:r>
    </w:p>
    <w:p w14:paraId="6C89404A" w14:textId="77777777" w:rsidR="001752B3" w:rsidRPr="00CF74EF" w:rsidRDefault="00DD6FBD" w:rsidP="00DD6FBD">
      <w:pPr>
        <w:pStyle w:val="Standard"/>
        <w:widowControl w:val="0"/>
        <w:tabs>
          <w:tab w:val="left" w:pos="426"/>
          <w:tab w:val="left" w:pos="993"/>
        </w:tabs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- 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 xml:space="preserve">имущество, которое не может свободно отчуждаться или переходить от одного лица к другому (п. 1 ст. 129 </w:t>
      </w:r>
      <w:r w:rsidR="00723BF5" w:rsidRPr="00CF74EF">
        <w:rPr>
          <w:rFonts w:ascii="Times New Roman" w:hAnsi="Times New Roman" w:cs="Times New Roman"/>
          <w:bCs/>
          <w:sz w:val="26"/>
          <w:szCs w:val="26"/>
        </w:rPr>
        <w:t>ГК</w:t>
      </w:r>
      <w:r w:rsidR="001752B3" w:rsidRPr="00CF74EF">
        <w:rPr>
          <w:rFonts w:ascii="Times New Roman" w:hAnsi="Times New Roman" w:cs="Times New Roman"/>
          <w:bCs/>
          <w:sz w:val="26"/>
          <w:szCs w:val="26"/>
        </w:rPr>
        <w:t xml:space="preserve"> РФ);</w:t>
      </w:r>
    </w:p>
    <w:p w14:paraId="687435BD" w14:textId="77777777" w:rsidR="00CA3D6F" w:rsidRPr="00CF74EF" w:rsidRDefault="00CA3D6F" w:rsidP="00DD6FBD">
      <w:pPr>
        <w:pStyle w:val="Standard"/>
        <w:widowControl w:val="0"/>
        <w:tabs>
          <w:tab w:val="left" w:pos="426"/>
          <w:tab w:val="left" w:pos="993"/>
        </w:tabs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-</w:t>
      </w:r>
      <w:r w:rsidR="00DD6FBD" w:rsidRPr="00CF74EF">
        <w:rPr>
          <w:rFonts w:ascii="Times New Roman" w:hAnsi="Times New Roman" w:cs="Times New Roman"/>
          <w:bCs/>
          <w:sz w:val="26"/>
          <w:szCs w:val="26"/>
        </w:rPr>
        <w:t> 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виды объектов гражданских прав, в отношении которых введены ограничения </w:t>
      </w:r>
      <w:proofErr w:type="spellStart"/>
      <w:r w:rsidRPr="00CF74EF">
        <w:rPr>
          <w:rFonts w:ascii="Times New Roman" w:hAnsi="Times New Roman" w:cs="Times New Roman"/>
          <w:bCs/>
          <w:sz w:val="26"/>
          <w:szCs w:val="26"/>
        </w:rPr>
        <w:t>оборотоспособности</w:t>
      </w:r>
      <w:proofErr w:type="spellEnd"/>
      <w:r w:rsidRPr="00CF74EF">
        <w:rPr>
          <w:rFonts w:ascii="Times New Roman" w:hAnsi="Times New Roman" w:cs="Times New Roman"/>
          <w:bCs/>
          <w:sz w:val="26"/>
          <w:szCs w:val="26"/>
        </w:rPr>
        <w:t xml:space="preserve">, должны быть прямо указаны в законе (п. 2 ст. 129 </w:t>
      </w:r>
      <w:r w:rsidR="00723BF5" w:rsidRPr="00CF74EF">
        <w:rPr>
          <w:rFonts w:ascii="Times New Roman" w:hAnsi="Times New Roman" w:cs="Times New Roman"/>
          <w:bCs/>
          <w:sz w:val="26"/>
          <w:szCs w:val="26"/>
        </w:rPr>
        <w:t xml:space="preserve">ГК </w:t>
      </w:r>
      <w:r w:rsidRPr="00CF74EF">
        <w:rPr>
          <w:rFonts w:ascii="Times New Roman" w:hAnsi="Times New Roman" w:cs="Times New Roman"/>
          <w:bCs/>
          <w:sz w:val="26"/>
          <w:szCs w:val="26"/>
        </w:rPr>
        <w:t>РФ).</w:t>
      </w:r>
    </w:p>
    <w:p w14:paraId="4D3E925D" w14:textId="77777777" w:rsidR="001752B3" w:rsidRPr="00CF74EF" w:rsidRDefault="001752B3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Имущество, свободная реализация которого запрещена в соответствии с законодательством РФ: вооружение, боеприпасы, военная техника, все виды ракетного топлива, ракетно-космические комплексы, системы связи и управления военного назначения и т.д.</w:t>
      </w:r>
    </w:p>
    <w:p w14:paraId="7481D98A" w14:textId="77777777" w:rsidR="007E037A" w:rsidRPr="00CF74EF" w:rsidRDefault="008F0DD4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Земельные участки, перечисленные в ст. 27 Земельного кодекса.</w:t>
      </w:r>
    </w:p>
    <w:p w14:paraId="34838895" w14:textId="77777777" w:rsidR="007E037A" w:rsidRPr="00CF74EF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Земельные участки, относящиеся к лесному фонду (ст. 8 Лесного кодекса РФ).</w:t>
      </w:r>
    </w:p>
    <w:p w14:paraId="351B82F0" w14:textId="37514536" w:rsidR="007E037A" w:rsidRPr="00CF74EF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Участки недр (ст. 12 Закона РФ</w:t>
      </w:r>
      <w:r w:rsidR="00990368" w:rsidRPr="00CF74EF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D418E5" w:rsidRPr="00CF74EF">
        <w:rPr>
          <w:rFonts w:ascii="Times New Roman" w:hAnsi="Times New Roman" w:cs="Times New Roman"/>
          <w:bCs/>
          <w:sz w:val="26"/>
          <w:szCs w:val="26"/>
        </w:rPr>
        <w:t>2</w:t>
      </w:r>
      <w:r w:rsidR="00990368" w:rsidRPr="00CF74EF">
        <w:rPr>
          <w:rFonts w:ascii="Times New Roman" w:hAnsi="Times New Roman" w:cs="Times New Roman"/>
          <w:bCs/>
          <w:sz w:val="26"/>
          <w:szCs w:val="26"/>
        </w:rPr>
        <w:t>1.02.1992 № 2395-1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«О недрах»).</w:t>
      </w:r>
    </w:p>
    <w:p w14:paraId="7B7AFD9C" w14:textId="77777777" w:rsidR="00677E24" w:rsidRPr="00CF74EF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Часть земельного участка, площадь которого меньше минимального размера, установленного нормативными актами субъектов РФ и нормативными актами органов местного самоуправления для земель различного и разрешенного использования (ст. 63 </w:t>
      </w:r>
      <w:r w:rsidR="00847FDD" w:rsidRPr="00CF74EF">
        <w:rPr>
          <w:rFonts w:ascii="Times New Roman" w:hAnsi="Times New Roman" w:cs="Times New Roman"/>
          <w:bCs/>
          <w:sz w:val="26"/>
          <w:szCs w:val="26"/>
        </w:rPr>
        <w:t>Федерального з</w:t>
      </w:r>
      <w:r w:rsidRPr="00CF74EF">
        <w:rPr>
          <w:rFonts w:ascii="Times New Roman" w:hAnsi="Times New Roman" w:cs="Times New Roman"/>
          <w:bCs/>
          <w:sz w:val="26"/>
          <w:szCs w:val="26"/>
        </w:rPr>
        <w:t>акона</w:t>
      </w:r>
      <w:r w:rsidR="00847FDD" w:rsidRPr="00CF74EF">
        <w:rPr>
          <w:rFonts w:ascii="Times New Roman" w:hAnsi="Times New Roman" w:cs="Times New Roman"/>
          <w:bCs/>
          <w:sz w:val="26"/>
          <w:szCs w:val="26"/>
        </w:rPr>
        <w:t xml:space="preserve"> от 16.07.1998 № 102-ФЗ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«Об ипотеке</w:t>
      </w:r>
      <w:r w:rsidR="00847FDD" w:rsidRPr="00CF74EF">
        <w:rPr>
          <w:rFonts w:ascii="Times New Roman" w:hAnsi="Times New Roman" w:cs="Times New Roman"/>
          <w:bCs/>
          <w:sz w:val="26"/>
          <w:szCs w:val="26"/>
        </w:rPr>
        <w:t xml:space="preserve"> (залоге недвижимости)</w:t>
      </w:r>
      <w:r w:rsidRPr="00CF74EF">
        <w:rPr>
          <w:rFonts w:ascii="Times New Roman" w:hAnsi="Times New Roman" w:cs="Times New Roman"/>
          <w:bCs/>
          <w:sz w:val="26"/>
          <w:szCs w:val="26"/>
        </w:rPr>
        <w:t>»).</w:t>
      </w:r>
    </w:p>
    <w:p w14:paraId="3860545D" w14:textId="77777777" w:rsidR="00677E24" w:rsidRPr="00CF74EF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Доли в праве собственности на земельный участок (ст. 62 </w:t>
      </w:r>
      <w:r w:rsidR="005A6C62" w:rsidRPr="00CF74EF">
        <w:rPr>
          <w:rFonts w:ascii="Times New Roman" w:hAnsi="Times New Roman" w:cs="Times New Roman"/>
          <w:bCs/>
          <w:sz w:val="26"/>
          <w:szCs w:val="26"/>
        </w:rPr>
        <w:t>Федерального з</w:t>
      </w:r>
      <w:r w:rsidRPr="00CF74EF">
        <w:rPr>
          <w:rFonts w:ascii="Times New Roman" w:hAnsi="Times New Roman" w:cs="Times New Roman"/>
          <w:bCs/>
          <w:sz w:val="26"/>
          <w:szCs w:val="26"/>
        </w:rPr>
        <w:t>акона</w:t>
      </w:r>
      <w:r w:rsidR="005A6C62" w:rsidRPr="00CF74EF">
        <w:rPr>
          <w:rFonts w:ascii="Times New Roman" w:hAnsi="Times New Roman" w:cs="Times New Roman"/>
          <w:bCs/>
          <w:sz w:val="26"/>
          <w:szCs w:val="26"/>
        </w:rPr>
        <w:t xml:space="preserve"> от 16.07.1998 № 102-ФЗ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«Об ипотеке</w:t>
      </w:r>
      <w:r w:rsidR="005A6C62" w:rsidRPr="00CF74EF">
        <w:rPr>
          <w:rFonts w:ascii="Times New Roman" w:hAnsi="Times New Roman" w:cs="Times New Roman"/>
          <w:bCs/>
          <w:sz w:val="26"/>
          <w:szCs w:val="26"/>
        </w:rPr>
        <w:t xml:space="preserve"> (залоге недвижимости)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», кроме случая залога доли в праве собственности на земельный участок одновременно с залогом здания, сооружения, помещения (ст. 69 </w:t>
      </w:r>
      <w:r w:rsidR="005A6C62" w:rsidRPr="00CF74EF">
        <w:rPr>
          <w:rFonts w:ascii="Times New Roman" w:hAnsi="Times New Roman" w:cs="Times New Roman"/>
          <w:bCs/>
          <w:sz w:val="26"/>
          <w:szCs w:val="26"/>
        </w:rPr>
        <w:t>Федерального з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акона </w:t>
      </w:r>
      <w:r w:rsidR="005A6C62" w:rsidRPr="00CF74EF">
        <w:rPr>
          <w:rFonts w:ascii="Times New Roman" w:hAnsi="Times New Roman" w:cs="Times New Roman"/>
          <w:bCs/>
          <w:sz w:val="26"/>
          <w:szCs w:val="26"/>
        </w:rPr>
        <w:t>от 16.07.1998 № 102-ФЗ «Об ипотеке (залоге недвижимости)»</w:t>
      </w:r>
      <w:r w:rsidRPr="00CF74E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62915604" w14:textId="77777777" w:rsidR="00677E24" w:rsidRPr="00CF74EF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Недвижимое имущество граждан, на которое в соответствии с законодательством не может быть обращено взыскание (ст. 446 </w:t>
      </w:r>
      <w:r w:rsidR="00723BF5" w:rsidRPr="00CF74EF">
        <w:rPr>
          <w:rFonts w:ascii="Times New Roman" w:hAnsi="Times New Roman" w:cs="Times New Roman"/>
          <w:bCs/>
          <w:sz w:val="26"/>
          <w:szCs w:val="26"/>
        </w:rPr>
        <w:t>Г</w:t>
      </w:r>
      <w:r w:rsidR="004C1B96" w:rsidRPr="00CF74EF">
        <w:rPr>
          <w:rFonts w:ascii="Times New Roman" w:hAnsi="Times New Roman" w:cs="Times New Roman"/>
          <w:bCs/>
          <w:sz w:val="26"/>
          <w:szCs w:val="26"/>
        </w:rPr>
        <w:t>П</w:t>
      </w:r>
      <w:r w:rsidR="00723BF5" w:rsidRPr="00CF74EF">
        <w:rPr>
          <w:rFonts w:ascii="Times New Roman" w:hAnsi="Times New Roman" w:cs="Times New Roman"/>
          <w:bCs/>
          <w:sz w:val="26"/>
          <w:szCs w:val="26"/>
        </w:rPr>
        <w:t>К РФ</w:t>
      </w:r>
      <w:r w:rsidRPr="00CF74EF">
        <w:rPr>
          <w:rFonts w:ascii="Times New Roman" w:hAnsi="Times New Roman" w:cs="Times New Roman"/>
          <w:bCs/>
          <w:sz w:val="26"/>
          <w:szCs w:val="26"/>
        </w:rPr>
        <w:t>).</w:t>
      </w:r>
    </w:p>
    <w:p w14:paraId="7C9DB64F" w14:textId="77777777" w:rsidR="00677E24" w:rsidRPr="00B44833" w:rsidRDefault="007E037A" w:rsidP="00DD6FBD">
      <w:pPr>
        <w:pStyle w:val="Standard"/>
        <w:widowControl w:val="0"/>
        <w:numPr>
          <w:ilvl w:val="0"/>
          <w:numId w:val="13"/>
        </w:numPr>
        <w:tabs>
          <w:tab w:val="left" w:pos="142"/>
          <w:tab w:val="left" w:pos="993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44833">
        <w:rPr>
          <w:rFonts w:ascii="Times New Roman" w:hAnsi="Times New Roman" w:cs="Times New Roman"/>
          <w:bCs/>
          <w:sz w:val="26"/>
          <w:szCs w:val="26"/>
        </w:rPr>
        <w:t>Земельные участки сельскохозяйственного назначения.</w:t>
      </w:r>
    </w:p>
    <w:p w14:paraId="4967F341" w14:textId="77777777" w:rsidR="0094436D" w:rsidRPr="00CF74EF" w:rsidRDefault="0094436D" w:rsidP="00360BED">
      <w:pPr>
        <w:pStyle w:val="Standard"/>
        <w:widowControl w:val="0"/>
        <w:numPr>
          <w:ilvl w:val="0"/>
          <w:numId w:val="13"/>
        </w:numPr>
        <w:tabs>
          <w:tab w:val="left" w:pos="142"/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Государственное или муниципальное имущество, переданное юридическим лицам на праве оперативного управления или хозяйственного ведения, за исключением имущества государственных унитарных предприятий и муниципальных унитарных предприятий, отчуждение которого не лишит предприятие возможности осуществлять деятельность, цели, предмет, виды которой определены уставом такого предприятия.</w:t>
      </w:r>
    </w:p>
    <w:p w14:paraId="33EBD683" w14:textId="77777777" w:rsidR="0094436D" w:rsidRPr="005B776E" w:rsidRDefault="0094436D" w:rsidP="00360BED">
      <w:pPr>
        <w:pStyle w:val="Standard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>Машины и оборудование для нефтедобычи</w:t>
      </w:r>
      <w:r w:rsidR="00603F8A" w:rsidRPr="005B776E">
        <w:rPr>
          <w:rFonts w:ascii="Times New Roman" w:hAnsi="Times New Roman" w:cs="Times New Roman"/>
          <w:bCs/>
          <w:sz w:val="26"/>
          <w:szCs w:val="26"/>
        </w:rPr>
        <w:t>.</w:t>
      </w:r>
    </w:p>
    <w:p w14:paraId="79912785" w14:textId="77777777" w:rsidR="0094436D" w:rsidRPr="00CF74EF" w:rsidRDefault="0094436D" w:rsidP="00360BED">
      <w:pPr>
        <w:pStyle w:val="Standard"/>
        <w:widowControl w:val="0"/>
        <w:numPr>
          <w:ilvl w:val="0"/>
          <w:numId w:val="13"/>
        </w:numPr>
        <w:tabs>
          <w:tab w:val="left" w:pos="851"/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Охраняемые результаты интеллектуальной деятельности и приравненные к ним средства индивидуализации (интеллектуальная собственность).</w:t>
      </w:r>
    </w:p>
    <w:p w14:paraId="50A6018A" w14:textId="77777777" w:rsidR="00677E24" w:rsidRPr="006552DA" w:rsidRDefault="007E037A" w:rsidP="00360B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Права пользования (аренда) имуществом, за исключением случаев, прямо </w:t>
      </w:r>
      <w:r w:rsidRPr="006552DA">
        <w:rPr>
          <w:rFonts w:ascii="Times New Roman" w:hAnsi="Times New Roman" w:cs="Times New Roman"/>
          <w:bCs/>
          <w:sz w:val="26"/>
          <w:szCs w:val="26"/>
        </w:rPr>
        <w:t xml:space="preserve">указанных в </w:t>
      </w:r>
      <w:r w:rsidR="00603F8A" w:rsidRPr="006552DA">
        <w:rPr>
          <w:rFonts w:ascii="Times New Roman" w:hAnsi="Times New Roman" w:cs="Times New Roman"/>
          <w:bCs/>
          <w:sz w:val="26"/>
          <w:szCs w:val="26"/>
        </w:rPr>
        <w:t>Порядке РФРП</w:t>
      </w:r>
      <w:r w:rsidRPr="006552DA">
        <w:rPr>
          <w:rFonts w:ascii="Times New Roman" w:hAnsi="Times New Roman" w:cs="Times New Roman"/>
          <w:bCs/>
          <w:sz w:val="26"/>
          <w:szCs w:val="26"/>
        </w:rPr>
        <w:t>.</w:t>
      </w:r>
    </w:p>
    <w:p w14:paraId="0B95FE73" w14:textId="77777777" w:rsidR="00677E24" w:rsidRPr="006552DA" w:rsidRDefault="007E037A" w:rsidP="00360B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6552DA">
        <w:rPr>
          <w:rFonts w:ascii="Times New Roman" w:hAnsi="Times New Roman" w:cs="Times New Roman"/>
          <w:bCs/>
          <w:sz w:val="26"/>
          <w:szCs w:val="26"/>
        </w:rPr>
        <w:t>Обязательственные права (право требования) по договорам (контрактам).</w:t>
      </w:r>
    </w:p>
    <w:p w14:paraId="144F4A29" w14:textId="0C6A2A1E" w:rsidR="00677E24" w:rsidRPr="006552DA" w:rsidRDefault="007E037A" w:rsidP="00360B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6552DA">
        <w:rPr>
          <w:rFonts w:ascii="Times New Roman" w:hAnsi="Times New Roman" w:cs="Times New Roman"/>
          <w:bCs/>
          <w:sz w:val="26"/>
          <w:szCs w:val="26"/>
        </w:rPr>
        <w:t>Имущество, находящееся за</w:t>
      </w:r>
      <w:r w:rsidR="004552FC" w:rsidRPr="006552DA">
        <w:rPr>
          <w:rFonts w:ascii="Times New Roman" w:hAnsi="Times New Roman" w:cs="Times New Roman"/>
          <w:bCs/>
          <w:sz w:val="26"/>
          <w:szCs w:val="26"/>
        </w:rPr>
        <w:t xml:space="preserve"> пределами Российской Федерации и за пределами Белгородской области.</w:t>
      </w:r>
    </w:p>
    <w:p w14:paraId="40DCCC34" w14:textId="77777777" w:rsidR="00677E24" w:rsidRPr="00CF74EF" w:rsidRDefault="007E037A" w:rsidP="00360B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Государственные и корпоративные облигации, номинированные в рублях и обращающиеся на российском биржевом рынке;</w:t>
      </w:r>
    </w:p>
    <w:p w14:paraId="7192C167" w14:textId="77777777" w:rsidR="007E037A" w:rsidRPr="00CF74EF" w:rsidRDefault="007E037A" w:rsidP="00360BED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Акции юридических лиц и доли участия в уставном капитале юридических лиц.</w:t>
      </w:r>
    </w:p>
    <w:p w14:paraId="26127672" w14:textId="77777777" w:rsidR="00333197" w:rsidRPr="00CF74EF" w:rsidRDefault="004C1B96" w:rsidP="004C1B96">
      <w:pPr>
        <w:pStyle w:val="Standard"/>
        <w:widowControl w:val="0"/>
        <w:numPr>
          <w:ilvl w:val="0"/>
          <w:numId w:val="13"/>
        </w:numPr>
        <w:tabs>
          <w:tab w:val="left" w:pos="1134"/>
        </w:tabs>
        <w:spacing w:after="0"/>
        <w:ind w:left="0" w:right="-2" w:firstLine="709"/>
        <w:rPr>
          <w:rFonts w:ascii="Times New Roman" w:hAnsi="Times New Roman" w:cs="Times New Roman"/>
          <w:b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Товары в обороте, запасы</w:t>
      </w:r>
      <w:r w:rsidR="002E76A9" w:rsidRPr="00CF74EF">
        <w:rPr>
          <w:rFonts w:ascii="Times New Roman" w:hAnsi="Times New Roman" w:cs="Times New Roman"/>
          <w:bCs/>
          <w:sz w:val="26"/>
          <w:szCs w:val="26"/>
        </w:rPr>
        <w:t xml:space="preserve"> готовой продукции, сырья,</w:t>
      </w: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материалов.</w:t>
      </w:r>
    </w:p>
    <w:p w14:paraId="2D56A7CA" w14:textId="77777777" w:rsidR="0004489C" w:rsidRPr="00CF74EF" w:rsidRDefault="0004489C" w:rsidP="004C1B96">
      <w:pPr>
        <w:pStyle w:val="TableParagraph"/>
        <w:ind w:right="-2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06FC8F2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B7CE095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0C06090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F454322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F2D72DA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D9BE6A5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0EC0C6D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AA58C31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BFFD812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110DAB7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EA396D1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4DD9EF9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528A87F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3D4FB83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CC18F3A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8A09E94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4F06D02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692A604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2F7BB73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4DEF601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8906C4A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7972A40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D3CAB26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B7E98BC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2B64C86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6A27D8E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2B7985C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385CF137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09EA51E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1315D72" w14:textId="77777777" w:rsidR="0004489C" w:rsidRPr="00CF74EF" w:rsidRDefault="0004489C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DDAA752" w14:textId="77777777" w:rsidR="00603F8A" w:rsidRPr="00CF74EF" w:rsidRDefault="00603F8A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851C483" w14:textId="77777777" w:rsidR="00603F8A" w:rsidRPr="00CF74EF" w:rsidRDefault="00603F8A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3ECB99F" w14:textId="77777777" w:rsidR="00333197" w:rsidRPr="00CF74EF" w:rsidRDefault="00333197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4B99CF0B" w14:textId="77777777" w:rsidR="00102705" w:rsidRPr="005B776E" w:rsidRDefault="00102705" w:rsidP="00305966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6A8C15F" w14:textId="77777777" w:rsidR="00603F8A" w:rsidRPr="005B776E" w:rsidRDefault="00FA6AB1" w:rsidP="00603F8A">
      <w:pPr>
        <w:pStyle w:val="1"/>
        <w:pageBreakBefore/>
        <w:tabs>
          <w:tab w:val="left" w:pos="5955"/>
        </w:tabs>
        <w:spacing w:before="0" w:after="0"/>
        <w:ind w:left="4962" w:hanging="284"/>
        <w:jc w:val="center"/>
        <w:rPr>
          <w:b w:val="0"/>
          <w:sz w:val="26"/>
          <w:szCs w:val="26"/>
        </w:rPr>
      </w:pPr>
      <w:r w:rsidRPr="005B776E">
        <w:rPr>
          <w:b w:val="0"/>
          <w:sz w:val="26"/>
          <w:szCs w:val="26"/>
        </w:rPr>
        <w:lastRenderedPageBreak/>
        <w:t xml:space="preserve">    </w:t>
      </w:r>
      <w:r w:rsidR="00603F8A" w:rsidRPr="005B776E">
        <w:rPr>
          <w:b w:val="0"/>
          <w:sz w:val="26"/>
          <w:szCs w:val="26"/>
        </w:rPr>
        <w:t xml:space="preserve">Приложение № </w:t>
      </w:r>
      <w:r w:rsidR="00A43129" w:rsidRPr="005B776E">
        <w:rPr>
          <w:b w:val="0"/>
          <w:sz w:val="26"/>
          <w:szCs w:val="26"/>
        </w:rPr>
        <w:t>3</w:t>
      </w:r>
      <w:r w:rsidR="00603F8A" w:rsidRPr="005B776E">
        <w:rPr>
          <w:b w:val="0"/>
          <w:sz w:val="26"/>
          <w:szCs w:val="26"/>
        </w:rPr>
        <w:t xml:space="preserve"> к Порядку </w:t>
      </w:r>
    </w:p>
    <w:p w14:paraId="730F3452" w14:textId="77777777" w:rsidR="00603F8A" w:rsidRPr="005B776E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государственного фонда развития </w:t>
      </w:r>
    </w:p>
    <w:p w14:paraId="295733B0" w14:textId="77777777" w:rsidR="00603F8A" w:rsidRPr="005B776E" w:rsidRDefault="00603F8A" w:rsidP="00603F8A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>промышленности Белгородской области</w:t>
      </w:r>
    </w:p>
    <w:p w14:paraId="1166B132" w14:textId="77777777" w:rsidR="00603F8A" w:rsidRPr="005B776E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«Порядок обеспечения возврата займов,</w:t>
      </w:r>
    </w:p>
    <w:p w14:paraId="2BA87EDE" w14:textId="77777777" w:rsidR="00603F8A" w:rsidRPr="005B776E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предоставленных субъектам деятельности</w:t>
      </w:r>
    </w:p>
    <w:p w14:paraId="7A17CADC" w14:textId="148571A4" w:rsidR="00603F8A" w:rsidRPr="005B776E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в сфере промышленности на реализацию</w:t>
      </w:r>
    </w:p>
    <w:p w14:paraId="7DCE4D4F" w14:textId="4C069CFA" w:rsidR="00603F8A" w:rsidRPr="005B776E" w:rsidRDefault="00603F8A" w:rsidP="00603F8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76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проектов»</w:t>
      </w:r>
    </w:p>
    <w:p w14:paraId="2A3A34C6" w14:textId="77777777" w:rsidR="00603F8A" w:rsidRPr="005B776E" w:rsidRDefault="00603F8A" w:rsidP="00581780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16074B80" w14:textId="77777777" w:rsidR="008E79DB" w:rsidRPr="005B776E" w:rsidRDefault="00581780" w:rsidP="00581780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B776E">
        <w:rPr>
          <w:rFonts w:ascii="Times New Roman" w:hAnsi="Times New Roman" w:cs="Times New Roman"/>
          <w:b/>
          <w:sz w:val="26"/>
          <w:szCs w:val="26"/>
          <w:lang w:val="ru-RU"/>
        </w:rPr>
        <w:t>Т</w:t>
      </w:r>
      <w:r w:rsidR="000A10ED" w:rsidRPr="005B776E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ребования к качеству </w:t>
      </w:r>
      <w:r w:rsidR="00A43129" w:rsidRPr="005B776E">
        <w:rPr>
          <w:rFonts w:ascii="Times New Roman" w:hAnsi="Times New Roman" w:cs="Times New Roman"/>
          <w:b/>
          <w:sz w:val="26"/>
          <w:szCs w:val="26"/>
          <w:lang w:val="ru-RU"/>
        </w:rPr>
        <w:t>О</w:t>
      </w:r>
      <w:r w:rsidR="000A10ED" w:rsidRPr="005B776E">
        <w:rPr>
          <w:rFonts w:ascii="Times New Roman" w:hAnsi="Times New Roman" w:cs="Times New Roman"/>
          <w:b/>
          <w:sz w:val="26"/>
          <w:szCs w:val="26"/>
          <w:lang w:val="ru-RU"/>
        </w:rPr>
        <w:t>беспечения</w:t>
      </w:r>
      <w:r w:rsidRPr="005B776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</w:p>
    <w:p w14:paraId="30E8307D" w14:textId="77777777" w:rsidR="008E79DB" w:rsidRPr="005B776E" w:rsidRDefault="00581780" w:rsidP="00581780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B776E">
        <w:rPr>
          <w:rFonts w:ascii="Times New Roman" w:hAnsi="Times New Roman" w:cs="Times New Roman"/>
          <w:b/>
          <w:sz w:val="26"/>
          <w:szCs w:val="26"/>
          <w:lang w:val="ru-RU"/>
        </w:rPr>
        <w:t xml:space="preserve">(включая критерии оценки </w:t>
      </w:r>
    </w:p>
    <w:p w14:paraId="5698EDB8" w14:textId="77777777" w:rsidR="00822B27" w:rsidRPr="005B776E" w:rsidRDefault="00581780" w:rsidP="00581780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B776E">
        <w:rPr>
          <w:rFonts w:ascii="Times New Roman" w:hAnsi="Times New Roman" w:cs="Times New Roman"/>
          <w:b/>
          <w:sz w:val="26"/>
          <w:szCs w:val="26"/>
          <w:lang w:val="ru-RU"/>
        </w:rPr>
        <w:t>кредитных организаций и юридических лиц)</w:t>
      </w:r>
    </w:p>
    <w:p w14:paraId="43E4A288" w14:textId="77777777" w:rsidR="001E5E43" w:rsidRPr="005B776E" w:rsidRDefault="001E5E43" w:rsidP="00581780">
      <w:pPr>
        <w:pStyle w:val="TableParagraph"/>
        <w:ind w:right="-2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5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2942"/>
        <w:gridCol w:w="236"/>
        <w:gridCol w:w="5561"/>
        <w:gridCol w:w="35"/>
      </w:tblGrid>
      <w:tr w:rsidR="005B776E" w:rsidRPr="005B776E" w14:paraId="32061507" w14:textId="77777777" w:rsidTr="009B7749">
        <w:trPr>
          <w:gridAfter w:val="1"/>
          <w:wAfter w:w="35" w:type="dxa"/>
          <w:trHeight w:val="338"/>
          <w:jc w:val="center"/>
        </w:trPr>
        <w:tc>
          <w:tcPr>
            <w:tcW w:w="782" w:type="dxa"/>
            <w:vMerge w:val="restart"/>
          </w:tcPr>
          <w:p w14:paraId="5B69F62E" w14:textId="77777777" w:rsidR="00BF41EC" w:rsidRPr="005B776E" w:rsidRDefault="00BF41EC" w:rsidP="001E5E43">
            <w:pPr>
              <w:pStyle w:val="TableParagraph"/>
              <w:ind w:left="3769" w:right="142" w:hanging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14:paraId="0B162E16" w14:textId="77777777" w:rsidR="00BF41EC" w:rsidRPr="005B776E" w:rsidRDefault="00BF41EC" w:rsidP="00BF41E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C0A1" w14:textId="77777777" w:rsidR="00335656" w:rsidRPr="005B776E" w:rsidRDefault="00BF41EC" w:rsidP="00BF41EC">
            <w:pPr>
              <w:widowControl/>
              <w:suppressAutoHyphens w:val="0"/>
              <w:autoSpaceDE w:val="0"/>
              <w:adjustRightInd w:val="0"/>
              <w:spacing w:after="0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</w:rPr>
              <w:t>Вид обеспечения</w:t>
            </w:r>
            <w:r w:rsidR="00335656" w:rsidRPr="005B7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D4DAFF" w14:textId="77777777" w:rsidR="00335656" w:rsidRPr="005B776E" w:rsidRDefault="00BF41EC" w:rsidP="00603F8A">
            <w:pPr>
              <w:widowControl/>
              <w:suppressAutoHyphens w:val="0"/>
              <w:autoSpaceDE w:val="0"/>
              <w:adjustRightInd w:val="0"/>
              <w:spacing w:after="0"/>
              <w:ind w:firstLine="0"/>
              <w:jc w:val="center"/>
              <w:textAlignment w:val="auto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41DF" w14:textId="77777777" w:rsidR="00BF41EC" w:rsidRPr="005B776E" w:rsidRDefault="00BF41EC" w:rsidP="00BF41EC">
            <w:pPr>
              <w:pStyle w:val="TableParagraph"/>
              <w:tabs>
                <w:tab w:val="left" w:pos="845"/>
              </w:tabs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776E" w:rsidRPr="005B776E" w14:paraId="10EF339C" w14:textId="77777777" w:rsidTr="009B7749">
        <w:trPr>
          <w:trHeight w:val="631"/>
          <w:jc w:val="center"/>
        </w:trPr>
        <w:tc>
          <w:tcPr>
            <w:tcW w:w="782" w:type="dxa"/>
            <w:vMerge/>
          </w:tcPr>
          <w:p w14:paraId="2E6181B0" w14:textId="77777777" w:rsidR="00BF41EC" w:rsidRPr="005B776E" w:rsidRDefault="00BF41EC" w:rsidP="00BF41EC">
            <w:pPr>
              <w:pStyle w:val="TableParagraph"/>
              <w:ind w:left="3769" w:right="142" w:hanging="18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161A" w14:textId="77777777" w:rsidR="00BF41EC" w:rsidRPr="005B776E" w:rsidRDefault="00BF41EC" w:rsidP="00BF41EC">
            <w:pPr>
              <w:widowControl/>
              <w:suppressAutoHyphens w:val="0"/>
              <w:autoSpaceDE w:val="0"/>
              <w:adjustRightInd w:val="0"/>
              <w:spacing w:after="0"/>
              <w:ind w:firstLine="0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C320" w14:textId="77777777" w:rsidR="00BF41EC" w:rsidRPr="005B776E" w:rsidRDefault="00BF41EC" w:rsidP="00BF41EC">
            <w:pPr>
              <w:pStyle w:val="TableParagraph"/>
              <w:tabs>
                <w:tab w:val="left" w:pos="845"/>
              </w:tabs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A12E" w14:textId="77777777" w:rsidR="00BF41EC" w:rsidRPr="005B776E" w:rsidRDefault="00BF41EC" w:rsidP="00BF41EC">
            <w:pPr>
              <w:pStyle w:val="TableParagraph"/>
              <w:tabs>
                <w:tab w:val="left" w:pos="845"/>
              </w:tabs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Условия принятия обеспечения</w:t>
            </w:r>
          </w:p>
        </w:tc>
      </w:tr>
      <w:tr w:rsidR="005B776E" w:rsidRPr="005B776E" w14:paraId="1F4C0988" w14:textId="77777777" w:rsidTr="009B7749">
        <w:trPr>
          <w:jc w:val="center"/>
        </w:trPr>
        <w:tc>
          <w:tcPr>
            <w:tcW w:w="782" w:type="dxa"/>
            <w:shd w:val="clear" w:color="auto" w:fill="auto"/>
          </w:tcPr>
          <w:p w14:paraId="439BAF9A" w14:textId="77777777" w:rsidR="00BF41EC" w:rsidRPr="005B776E" w:rsidRDefault="00BF41EC" w:rsidP="0071205D">
            <w:pPr>
              <w:pStyle w:val="TableParagraph"/>
              <w:numPr>
                <w:ilvl w:val="0"/>
                <w:numId w:val="29"/>
              </w:numPr>
              <w:tabs>
                <w:tab w:val="left" w:pos="7637"/>
              </w:tabs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8F2C" w14:textId="77777777" w:rsidR="00BF41EC" w:rsidRPr="005B776E" w:rsidRDefault="00BF41EC" w:rsidP="00BF41EC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Независимые гарантии</w:t>
            </w:r>
            <w:r w:rsidRPr="005B776E">
              <w:rPr>
                <w:rFonts w:ascii="Times New Roman" w:hAnsi="Times New Roman" w:cs="Times New Roman"/>
                <w:position w:val="14"/>
                <w:sz w:val="24"/>
                <w:szCs w:val="24"/>
                <w:lang w:val="ru-RU"/>
              </w:rPr>
              <w:t xml:space="preserve"> </w:t>
            </w: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кредитных организаций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4FD57DC" w14:textId="77777777" w:rsidR="00BF41EC" w:rsidRPr="005B776E" w:rsidRDefault="00BF41EC" w:rsidP="00E23432">
            <w:pPr>
              <w:pStyle w:val="TableParagraph"/>
              <w:tabs>
                <w:tab w:val="left" w:pos="284"/>
                <w:tab w:val="left" w:pos="851"/>
              </w:tabs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соответствующих критериям оценки устойчивости финансового положения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7AB2" w14:textId="77777777" w:rsidR="00BF41EC" w:rsidRPr="005B776E" w:rsidRDefault="00BF41EC" w:rsidP="00BF41EC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EE76" w14:textId="77777777" w:rsidR="00BF41EC" w:rsidRPr="005B776E" w:rsidRDefault="00BF41EC" w:rsidP="0011792B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Независимая гарантия кредитной организации должна отвечать условиям: безотзывная, срок действия гарантии должен превышать срок обязательства по возврату займа.</w:t>
            </w:r>
          </w:p>
          <w:p w14:paraId="093BD8A5" w14:textId="77777777" w:rsidR="00BF41EC" w:rsidRPr="005B776E" w:rsidRDefault="00BF41EC" w:rsidP="00E23432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случае, если условиями договора займа предусмотрена последующая замена гарантии на иное обеспечение, то срок действия гарантии должен превышать срок, установленный д</w:t>
            </w:r>
            <w:r w:rsidR="00E23432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 оформления иного обеспечения</w:t>
            </w:r>
          </w:p>
          <w:p w14:paraId="57F2F91F" w14:textId="77777777" w:rsidR="00D43657" w:rsidRPr="005B776E" w:rsidRDefault="00D43657" w:rsidP="0011792B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776E" w:rsidRPr="005B776E" w14:paraId="7B43AAF5" w14:textId="77777777" w:rsidTr="009B7749">
        <w:trPr>
          <w:cantSplit/>
          <w:jc w:val="center"/>
        </w:trPr>
        <w:tc>
          <w:tcPr>
            <w:tcW w:w="782" w:type="dxa"/>
          </w:tcPr>
          <w:p w14:paraId="43167621" w14:textId="77777777" w:rsidR="00BF41EC" w:rsidRPr="005B776E" w:rsidRDefault="00BF41EC" w:rsidP="0071205D">
            <w:pPr>
              <w:pStyle w:val="TableParagraph"/>
              <w:numPr>
                <w:ilvl w:val="0"/>
                <w:numId w:val="29"/>
              </w:numPr>
              <w:tabs>
                <w:tab w:val="left" w:pos="7616"/>
              </w:tabs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C036" w14:textId="7D77BA40" w:rsidR="00A06E20" w:rsidRPr="005B776E" w:rsidRDefault="00BF41EC" w:rsidP="00EC40BE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Гаранти</w:t>
            </w:r>
            <w:r w:rsidR="00CB5A42"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3C29E2"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B77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АО "Федеральная корпорация по развитию малого и среднего предпринимательства"</w:t>
            </w:r>
            <w:r w:rsidR="003C29E2" w:rsidRPr="005B77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3C29E2" w:rsidRPr="005B776E">
              <w:rPr>
                <w:rFonts w:ascii="Times New Roman" w:eastAsia="SimSun" w:hAnsi="Times New Roman" w:cs="Times New Roman"/>
                <w:sz w:val="26"/>
                <w:szCs w:val="26"/>
                <w:lang w:val="ru-RU"/>
              </w:rPr>
              <w:t>АО «МСП Банк».</w:t>
            </w:r>
          </w:p>
          <w:p w14:paraId="620CEA19" w14:textId="51B78FAD" w:rsidR="00EC40BE" w:rsidRPr="005B776E" w:rsidRDefault="00EC40BE" w:rsidP="00EC40BE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A976" w14:textId="77777777" w:rsidR="00BF41EC" w:rsidRPr="005B776E" w:rsidRDefault="00BF41EC" w:rsidP="00BF41EC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C852" w14:textId="75312A93" w:rsidR="00BF41EC" w:rsidRPr="005B776E" w:rsidRDefault="00BF41EC" w:rsidP="000E0FEF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Гарантия должн</w:t>
            </w:r>
            <w:r w:rsidR="0011792B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быть безотзыв</w:t>
            </w:r>
            <w:r w:rsidR="0011792B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06E20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(закрепляется в </w:t>
            </w:r>
            <w:r w:rsidR="000E0FEF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соответствующем </w:t>
            </w:r>
            <w:r w:rsidR="00A06E20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договоре)</w:t>
            </w:r>
          </w:p>
        </w:tc>
      </w:tr>
      <w:tr w:rsidR="005B776E" w:rsidRPr="005B776E" w14:paraId="2E27054A" w14:textId="77777777" w:rsidTr="009B7749">
        <w:trPr>
          <w:trHeight w:val="595"/>
          <w:jc w:val="center"/>
        </w:trPr>
        <w:tc>
          <w:tcPr>
            <w:tcW w:w="782" w:type="dxa"/>
          </w:tcPr>
          <w:p w14:paraId="6E02698B" w14:textId="77777777" w:rsidR="00BF41EC" w:rsidRPr="005B776E" w:rsidRDefault="00BF41EC" w:rsidP="0071205D">
            <w:pPr>
              <w:pStyle w:val="TableParagraph"/>
              <w:numPr>
                <w:ilvl w:val="0"/>
                <w:numId w:val="29"/>
              </w:numPr>
              <w:tabs>
                <w:tab w:val="left" w:pos="7637"/>
              </w:tabs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2972C" w14:textId="77777777" w:rsidR="00CE044B" w:rsidRPr="005B776E" w:rsidRDefault="00BF41EC" w:rsidP="00A930E0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Поручительства юридических лиц</w:t>
            </w:r>
          </w:p>
          <w:p w14:paraId="1302D8A1" w14:textId="18E35438" w:rsidR="00BF41EC" w:rsidRPr="005B776E" w:rsidRDefault="000E0FEF" w:rsidP="00A930E0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F41EC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условии, что юридическое лицо соответствует критериям оценки устойчивости финансового положения</w:t>
            </w:r>
          </w:p>
          <w:p w14:paraId="6D97F31A" w14:textId="33F32C9A" w:rsidR="003C29E2" w:rsidRPr="005B776E" w:rsidRDefault="003C29E2" w:rsidP="00A930E0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2527" w14:textId="77777777" w:rsidR="00BF41EC" w:rsidRPr="005B776E" w:rsidRDefault="00BF41EC" w:rsidP="00BF41EC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3AFB" w14:textId="1480C38B" w:rsidR="0011792B" w:rsidRPr="005B776E" w:rsidRDefault="0011792B" w:rsidP="0011792B">
            <w:pPr>
              <w:pStyle w:val="a8"/>
              <w:widowControl w:val="0"/>
              <w:ind w:left="142" w:right="141" w:firstLine="58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Поручительство юридического лица должно предусматривать солида</w:t>
            </w:r>
            <w:r w:rsidR="00A930E0"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рную ответственность поручителя</w:t>
            </w:r>
            <w:r w:rsidR="003C29E2"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на весь срок займа на всю сумму обязательств</w:t>
            </w:r>
          </w:p>
          <w:p w14:paraId="4109C067" w14:textId="24999B9A" w:rsidR="00D43657" w:rsidRPr="005B776E" w:rsidRDefault="00D43657" w:rsidP="00A930E0">
            <w:pPr>
              <w:pStyle w:val="a8"/>
              <w:widowControl w:val="0"/>
              <w:ind w:left="142" w:right="141" w:firstLine="58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0F1DB3A7" w14:textId="77777777" w:rsidTr="009B7749">
        <w:trPr>
          <w:trHeight w:val="595"/>
          <w:jc w:val="center"/>
        </w:trPr>
        <w:tc>
          <w:tcPr>
            <w:tcW w:w="782" w:type="dxa"/>
          </w:tcPr>
          <w:p w14:paraId="2A02A181" w14:textId="77777777" w:rsidR="00CB5A42" w:rsidRPr="005B776E" w:rsidRDefault="00CB5A42" w:rsidP="00CB5A42">
            <w:pPr>
              <w:pStyle w:val="TableParagraph"/>
              <w:numPr>
                <w:ilvl w:val="0"/>
                <w:numId w:val="29"/>
              </w:numPr>
              <w:tabs>
                <w:tab w:val="left" w:pos="7637"/>
              </w:tabs>
              <w:ind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D507" w14:textId="59834446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Залог имущества и имущественных прав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 исключением имущества, перечисленного в Приложении № 2 к стандарту РФРП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C2510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B343" w14:textId="77777777" w:rsidR="00CB5A42" w:rsidRPr="005B776E" w:rsidRDefault="00CB5A42" w:rsidP="00CB5A42">
            <w:pPr>
              <w:pStyle w:val="a8"/>
              <w:widowControl w:val="0"/>
              <w:ind w:right="141" w:firstLine="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Отчет об оценке объекта залога должен быть выполнен оценщиком, имеющим соответствующий предмету оценки квалификационный аттестат, копия которого прикладывается к отчету об оценке.</w:t>
            </w:r>
          </w:p>
          <w:p w14:paraId="57C080E5" w14:textId="1F93F1C6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Имущество не должно быть предметом финансовой аренды (лизинга) или аренды, предусматривающей выкуп арендованного имущества, или получено собственником для </w:t>
            </w: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обеспечения обязательств пожизненного содержания, пожизненной или периодической ренты</w:t>
            </w:r>
          </w:p>
        </w:tc>
      </w:tr>
      <w:tr w:rsidR="005B776E" w:rsidRPr="005B776E" w14:paraId="3DDD1B99" w14:textId="77777777" w:rsidTr="009B7749">
        <w:trPr>
          <w:trHeight w:val="595"/>
          <w:jc w:val="center"/>
        </w:trPr>
        <w:tc>
          <w:tcPr>
            <w:tcW w:w="782" w:type="dxa"/>
          </w:tcPr>
          <w:p w14:paraId="3BCD4A51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E688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Недвижимое имущество: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0D8D4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2CA9" w14:textId="77777777" w:rsidR="00CB5A42" w:rsidRPr="005B776E" w:rsidRDefault="00CB5A42" w:rsidP="00CB5A42">
            <w:pPr>
              <w:pStyle w:val="a8"/>
              <w:widowControl w:val="0"/>
              <w:ind w:right="141" w:firstLine="0"/>
              <w:jc w:val="left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5777A094" w14:textId="77777777" w:rsidTr="00041094">
        <w:trPr>
          <w:trHeight w:val="1002"/>
          <w:jc w:val="center"/>
        </w:trPr>
        <w:tc>
          <w:tcPr>
            <w:tcW w:w="782" w:type="dxa"/>
          </w:tcPr>
          <w:p w14:paraId="66788C01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5AF" w14:textId="77777777" w:rsidR="00CB5A42" w:rsidRPr="005B776E" w:rsidRDefault="00CB5A42" w:rsidP="00CB5A42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Жилая недвижимость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99FF0E2" w14:textId="02C08502" w:rsidR="004552FC" w:rsidRPr="005B776E" w:rsidRDefault="004552FC" w:rsidP="004552FC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0,9)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E4DE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4E61" w14:textId="53B3A58F" w:rsidR="00CB5A42" w:rsidRPr="005B776E" w:rsidRDefault="00CB5A42" w:rsidP="00CB5A42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залог принимаются квартиры/коттеджи и </w:t>
            </w:r>
            <w:r w:rsidR="000B45E2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другое недвижимое имущество при условии, если</w:t>
            </w:r>
            <w:r w:rsidR="004552FC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собственников есть иное жилье и отсутствуют прописанные </w:t>
            </w:r>
            <w:r w:rsidR="000B45E2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несовершеннолетние, недееспособные,</w:t>
            </w:r>
            <w:r w:rsidR="004552FC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C71FB"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с ограниченными возможностями, подопечные/опекаемые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CA0FF86" w14:textId="5BDFA581" w:rsidR="000B45E2" w:rsidRPr="005B776E" w:rsidRDefault="000B45E2" w:rsidP="00CB5A42">
            <w:pPr>
              <w:pStyle w:val="TableParagraph"/>
              <w:ind w:left="142" w:right="142" w:firstLine="4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776E" w:rsidRPr="005B776E" w14:paraId="2632EE6F" w14:textId="77777777" w:rsidTr="009B7749">
        <w:trPr>
          <w:trHeight w:val="595"/>
          <w:jc w:val="center"/>
        </w:trPr>
        <w:tc>
          <w:tcPr>
            <w:tcW w:w="782" w:type="dxa"/>
          </w:tcPr>
          <w:p w14:paraId="235832FF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2354" w14:textId="77777777" w:rsidR="00CB5A42" w:rsidRPr="005B776E" w:rsidRDefault="00CB5A42" w:rsidP="00CB5A42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Коммерческая недвижимость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F4743E0" w14:textId="145B5ED8" w:rsidR="004552FC" w:rsidRPr="005B776E" w:rsidRDefault="004552FC" w:rsidP="00CB5A42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0,9)</w:t>
            </w:r>
          </w:p>
          <w:p w14:paraId="38BCF3F4" w14:textId="77777777" w:rsidR="00CB5A42" w:rsidRPr="005B776E" w:rsidRDefault="00CB5A42" w:rsidP="00CB5A42">
            <w:pPr>
              <w:pStyle w:val="TableParagraph"/>
              <w:tabs>
                <w:tab w:val="left" w:pos="7616"/>
              </w:tabs>
              <w:ind w:left="103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B873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BE154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Офисы и офисные центры, магазины, торговые и торгово-развлекательные центры, торгово-выставочные комплексы, бизнес-парки, оптовые базы, объекты туристической инфраструктуры (гостиницы, пансионаты и т.п.), складские комплексы и логистические центры, гаражные комплексы, нежилые помещения коммерческого назначения в жилых домах, многофункциональные комплексы, содержащие площади различного назначения (жилые, коммерческие, фитнес-центры и др.</w:t>
            </w:r>
          </w:p>
          <w:p w14:paraId="16202D48" w14:textId="4D89AC6A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Права долгосрочной аренды на земельные участки, на которых расположены указанные объекты коммерческой недвижимости, принимаются в залог при условии, что срок аренды превышает не менее чем на 5 лет срок возврата Займа</w:t>
            </w:r>
          </w:p>
          <w:p w14:paraId="6B75EDDC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305C05D7" w14:textId="77777777" w:rsidTr="009B7749">
        <w:trPr>
          <w:trHeight w:val="595"/>
          <w:jc w:val="center"/>
        </w:trPr>
        <w:tc>
          <w:tcPr>
            <w:tcW w:w="782" w:type="dxa"/>
          </w:tcPr>
          <w:p w14:paraId="0AF1E62E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EF27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Промышленная недвижимость</w:t>
            </w:r>
          </w:p>
          <w:p w14:paraId="7D181B9E" w14:textId="396D0C9A" w:rsidR="004552FC" w:rsidRPr="005B776E" w:rsidRDefault="004552FC" w:rsidP="004552FC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0,8)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8359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A60E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Здания, сооружения, склады, иные объекты недвижимого имущества, предназначенные для выпуска промышленной продукции и (или) технологически задействованные в производственной деятельности. </w:t>
            </w:r>
          </w:p>
          <w:p w14:paraId="0E062DD2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Права долгосрочной аренды на земельные участки, на которых расположены указанные объекты (при условии, что срок аренды превышает не менее, чем на 5 лет срок возврата Займа)</w:t>
            </w:r>
          </w:p>
          <w:p w14:paraId="1E1896C0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079DAB08" w14:textId="77777777" w:rsidTr="009B7749">
        <w:trPr>
          <w:trHeight w:val="595"/>
          <w:jc w:val="center"/>
        </w:trPr>
        <w:tc>
          <w:tcPr>
            <w:tcW w:w="782" w:type="dxa"/>
          </w:tcPr>
          <w:p w14:paraId="5558C486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3601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Земельные участки</w:t>
            </w:r>
          </w:p>
          <w:p w14:paraId="49782418" w14:textId="76608FCE" w:rsidR="004552FC" w:rsidRPr="005B776E" w:rsidRDefault="004552FC" w:rsidP="004552FC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0,8)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D7746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8802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eastAsia="Arial Narrow" w:hAnsi="Times New Roman" w:cs="Times New Roman"/>
                <w:sz w:val="24"/>
                <w:szCs w:val="24"/>
              </w:rPr>
              <w:t>В залог принимаются земельные участки из состава земель промышленности, транспорта, связи, информатики и иные земельные участки данных категорий земель, земельные участки из состава земель населенных пунктов свободные и застроенные</w:t>
            </w:r>
          </w:p>
          <w:p w14:paraId="155F6475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26329B71" w14:textId="77777777" w:rsidTr="009B7749">
        <w:trPr>
          <w:trHeight w:val="289"/>
          <w:jc w:val="center"/>
        </w:trPr>
        <w:tc>
          <w:tcPr>
            <w:tcW w:w="782" w:type="dxa"/>
          </w:tcPr>
          <w:p w14:paraId="46B7132B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9BC62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Объекты незавершенного строительства</w:t>
            </w:r>
          </w:p>
          <w:p w14:paraId="78673A79" w14:textId="75C12BA4" w:rsidR="004552FC" w:rsidRPr="005B776E" w:rsidRDefault="004552FC" w:rsidP="004552FC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0,6)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3CB4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8BE7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</w:rPr>
              <w:t>В залог принимаются объекты незавершенного строительства, на которые оформлено право собственности.</w:t>
            </w:r>
          </w:p>
          <w:p w14:paraId="4FC7CD79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</w:rPr>
              <w:t xml:space="preserve">Не могут быть приняты в залог объекты незавершенного строительства с просроченными </w:t>
            </w:r>
            <w:r w:rsidRPr="005B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сроками разрешения на строительство и (или) просроченными сроками ввода в эксплуатацию указанного в проектной документации объекта</w:t>
            </w:r>
          </w:p>
          <w:p w14:paraId="3F226968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0D05E774" w14:textId="77777777" w:rsidTr="009B7749">
        <w:trPr>
          <w:trHeight w:val="595"/>
          <w:jc w:val="center"/>
        </w:trPr>
        <w:tc>
          <w:tcPr>
            <w:tcW w:w="782" w:type="dxa"/>
          </w:tcPr>
          <w:p w14:paraId="7E81FDA9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2423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Движимое имущество</w:t>
            </w: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(оборудование)</w:t>
            </w:r>
          </w:p>
          <w:p w14:paraId="5BED44C3" w14:textId="0CF97B11" w:rsidR="004552FC" w:rsidRPr="005B776E" w:rsidRDefault="004552FC" w:rsidP="004552FC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(коэффициент 0,7 в пределах гарантийного срока эксплуатации, за пределами срока коэффициент 0,5)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DD28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2C16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</w:rPr>
              <w:t xml:space="preserve">В залог принимается технологическое оборудование, прочие машины и оборудование, при выполнении следующего условия: </w:t>
            </w:r>
          </w:p>
          <w:p w14:paraId="7EC018B0" w14:textId="7F30531F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sz w:val="24"/>
                <w:szCs w:val="24"/>
              </w:rPr>
              <w:t>оборудование полностью оплачено, принято к бухгалтерскому учету и введе</w:t>
            </w:r>
            <w:r w:rsidR="004552FC" w:rsidRPr="005B776E">
              <w:rPr>
                <w:rFonts w:ascii="Times New Roman" w:hAnsi="Times New Roman" w:cs="Times New Roman"/>
                <w:sz w:val="24"/>
                <w:szCs w:val="24"/>
              </w:rPr>
              <w:t>но в эксплуатацию Залогодателем,</w:t>
            </w:r>
            <w:r w:rsidRPr="005B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2FC" w:rsidRPr="005B776E">
              <w:rPr>
                <w:rFonts w:ascii="Times New Roman" w:hAnsi="Times New Roman" w:cs="Times New Roman"/>
                <w:sz w:val="24"/>
                <w:szCs w:val="24"/>
              </w:rPr>
              <w:t>залоговой стоимостью не менее 500 000 (пятьсот тысяч) рублей.</w:t>
            </w:r>
          </w:p>
          <w:p w14:paraId="2A8009D5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76E" w:rsidRPr="005B776E" w14:paraId="3333400C" w14:textId="77777777" w:rsidTr="009B7749">
        <w:trPr>
          <w:trHeight w:val="595"/>
          <w:jc w:val="center"/>
        </w:trPr>
        <w:tc>
          <w:tcPr>
            <w:tcW w:w="782" w:type="dxa"/>
          </w:tcPr>
          <w:p w14:paraId="368D1406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0259" w14:textId="77777777" w:rsidR="00CB5A42" w:rsidRPr="005B776E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Движимое имущество</w:t>
            </w:r>
            <w:r w:rsidRPr="005B77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(транспортные средства)</w:t>
            </w:r>
          </w:p>
          <w:p w14:paraId="5D45FD93" w14:textId="6932BA81" w:rsidR="005F146D" w:rsidRPr="005B776E" w:rsidRDefault="005F146D" w:rsidP="005F146D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77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(коэффициент 0,6)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D09C" w14:textId="77777777" w:rsidR="00CB5A42" w:rsidRPr="005B776E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D334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776E">
              <w:rPr>
                <w:rFonts w:ascii="Times New Roman" w:hAnsi="Times New Roman" w:cs="Times New Roman"/>
                <w:bCs/>
                <w:sz w:val="24"/>
                <w:szCs w:val="24"/>
              </w:rPr>
              <w:t>В залог принимается автотранспорт, спецтехника, самоходные машины, прицепы, подвижной состав и прочие транспортные средства залоговой стоимостью не менее 500 000 (пятьсот тысяч) рублей. Транспортное средство, принимаемое в залог, должно быть зарегистрировано (стоять на учете) на физическое лицо, либо полностью оплачено, принято к бухгалтерскому учету, быть зарегистрировано (стоять на учете) на юридическое лицо и введено в эксплуатацию</w:t>
            </w:r>
          </w:p>
          <w:p w14:paraId="4C2B4642" w14:textId="77777777" w:rsidR="00CB5A42" w:rsidRPr="005B776E" w:rsidRDefault="00CB5A42" w:rsidP="00CB5A42">
            <w:pPr>
              <w:pStyle w:val="a8"/>
              <w:widowControl w:val="0"/>
              <w:ind w:right="141" w:firstLine="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5A42" w:rsidRPr="00CF74EF" w14:paraId="5EE3C95C" w14:textId="77777777" w:rsidTr="009B7749">
        <w:trPr>
          <w:trHeight w:val="595"/>
          <w:jc w:val="center"/>
        </w:trPr>
        <w:tc>
          <w:tcPr>
            <w:tcW w:w="782" w:type="dxa"/>
          </w:tcPr>
          <w:p w14:paraId="502CDFAE" w14:textId="1E0E60FB" w:rsidR="00CB5A42" w:rsidRPr="00CF74EF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A0AE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F74E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EF73" w14:textId="77777777" w:rsidR="00CB5A42" w:rsidRPr="00CE044B" w:rsidRDefault="00CB5A42" w:rsidP="00CB5A42">
            <w:pPr>
              <w:pStyle w:val="TableParagraph"/>
              <w:spacing w:line="270" w:lineRule="exact"/>
              <w:ind w:left="129" w:right="-2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44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Поручительство физических лиц</w:t>
            </w:r>
          </w:p>
          <w:p w14:paraId="3427F56E" w14:textId="77777777" w:rsidR="00CB5A42" w:rsidRPr="00CF74EF" w:rsidRDefault="00CB5A42" w:rsidP="00CB5A42">
            <w:pPr>
              <w:pStyle w:val="TableParagraph"/>
              <w:tabs>
                <w:tab w:val="left" w:pos="7637"/>
              </w:tabs>
              <w:ind w:left="124"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50F4" w14:textId="77777777" w:rsidR="00CB5A42" w:rsidRPr="00CF74EF" w:rsidRDefault="00CB5A42" w:rsidP="00CB5A42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5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1923C" w14:textId="4863E37A" w:rsidR="00CB5A42" w:rsidRPr="00CF74EF" w:rsidRDefault="00CB5A42" w:rsidP="00CB5A42">
            <w:pPr>
              <w:pStyle w:val="a8"/>
              <w:widowControl w:val="0"/>
              <w:ind w:right="141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4EF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Поручительство должно предусматривать солидарную ответственность поручителя </w:t>
            </w:r>
            <w:r w:rsidR="003A0AE3" w:rsidRPr="00CF74EF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на весь срок займа </w:t>
            </w:r>
            <w:r w:rsidRPr="00CF74EF">
              <w:rPr>
                <w:rFonts w:ascii="Times New Roman" w:eastAsia="Arial Narrow" w:hAnsi="Times New Roman" w:cs="Times New Roman"/>
                <w:sz w:val="24"/>
                <w:szCs w:val="24"/>
              </w:rPr>
              <w:t>на всю сумму займа</w:t>
            </w:r>
          </w:p>
        </w:tc>
      </w:tr>
    </w:tbl>
    <w:p w14:paraId="63B0A5C9" w14:textId="77777777" w:rsidR="00ED2229" w:rsidRPr="00CF74EF" w:rsidRDefault="00ED2229" w:rsidP="0013661A">
      <w:pPr>
        <w:pStyle w:val="a8"/>
        <w:widowControl w:val="0"/>
        <w:tabs>
          <w:tab w:val="left" w:pos="1539"/>
        </w:tabs>
        <w:spacing w:line="270" w:lineRule="exact"/>
        <w:ind w:right="-24" w:firstLine="0"/>
        <w:rPr>
          <w:rFonts w:ascii="Times New Roman" w:eastAsia="Arial Narrow" w:hAnsi="Times New Roman" w:cs="Times New Roman"/>
          <w:sz w:val="24"/>
          <w:szCs w:val="24"/>
        </w:rPr>
      </w:pPr>
      <w:bookmarkStart w:id="9" w:name="_bookmark10"/>
      <w:bookmarkStart w:id="10" w:name="_bookmark8"/>
      <w:bookmarkEnd w:id="9"/>
      <w:bookmarkEnd w:id="10"/>
    </w:p>
    <w:p w14:paraId="0AD50848" w14:textId="77777777" w:rsidR="00ED2229" w:rsidRPr="00CF74EF" w:rsidRDefault="00ED2229" w:rsidP="00ED2229">
      <w:pPr>
        <w:pStyle w:val="1"/>
        <w:pageBreakBefore/>
        <w:tabs>
          <w:tab w:val="left" w:pos="5955"/>
        </w:tabs>
        <w:spacing w:before="0" w:after="0"/>
        <w:ind w:left="4962" w:hanging="284"/>
        <w:jc w:val="center"/>
        <w:rPr>
          <w:b w:val="0"/>
          <w:sz w:val="26"/>
          <w:szCs w:val="26"/>
        </w:rPr>
      </w:pPr>
      <w:r w:rsidRPr="00CF74EF">
        <w:rPr>
          <w:b w:val="0"/>
          <w:sz w:val="26"/>
          <w:szCs w:val="26"/>
        </w:rPr>
        <w:lastRenderedPageBreak/>
        <w:t xml:space="preserve">    Приложение № 4 к Порядку </w:t>
      </w:r>
    </w:p>
    <w:p w14:paraId="29AB7A17" w14:textId="77777777" w:rsidR="00ED2229" w:rsidRPr="00CF74EF" w:rsidRDefault="00ED2229" w:rsidP="00ED222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государственного фонда развития </w:t>
      </w:r>
    </w:p>
    <w:p w14:paraId="32778638" w14:textId="77777777" w:rsidR="00ED2229" w:rsidRPr="00CF74EF" w:rsidRDefault="00ED2229" w:rsidP="00ED2229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>промышленности Белгородской области</w:t>
      </w:r>
    </w:p>
    <w:p w14:paraId="2E64DF39" w14:textId="77777777" w:rsidR="00ED2229" w:rsidRPr="00CF74EF" w:rsidRDefault="00ED2229" w:rsidP="00ED222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«Порядок обеспечения возврата займов,</w:t>
      </w:r>
    </w:p>
    <w:p w14:paraId="6ED44F1E" w14:textId="77777777" w:rsidR="00ED2229" w:rsidRPr="00CF74EF" w:rsidRDefault="00ED2229" w:rsidP="00ED222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предоставленных субъектам деятельности</w:t>
      </w:r>
    </w:p>
    <w:p w14:paraId="61EC21B1" w14:textId="26033727" w:rsidR="00ED2229" w:rsidRPr="00CF74EF" w:rsidRDefault="00ED2229" w:rsidP="00ED222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в сфере промышленности на реализацию</w:t>
      </w:r>
    </w:p>
    <w:p w14:paraId="3AD55D71" w14:textId="34C0ED86" w:rsidR="00ED2229" w:rsidRPr="00CF74EF" w:rsidRDefault="00ED2229" w:rsidP="00ED222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4E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проектов»</w:t>
      </w:r>
    </w:p>
    <w:p w14:paraId="266E7F3C" w14:textId="77777777" w:rsidR="00ED2229" w:rsidRPr="00CF74EF" w:rsidRDefault="00ED2229" w:rsidP="00ED2229">
      <w:pPr>
        <w:pStyle w:val="TableParagraph"/>
        <w:ind w:right="-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813E9B3" w14:textId="77777777" w:rsidR="00ED2229" w:rsidRPr="00CF74EF" w:rsidRDefault="00ED2229" w:rsidP="00ED2229">
      <w:pPr>
        <w:pStyle w:val="af1"/>
        <w:spacing w:before="0" w:line="240" w:lineRule="auto"/>
        <w:ind w:firstLine="720"/>
        <w:jc w:val="center"/>
        <w:rPr>
          <w:rStyle w:val="markedcontent"/>
          <w:rFonts w:cs="Arial"/>
          <w:b/>
          <w:bCs/>
          <w:sz w:val="26"/>
          <w:szCs w:val="26"/>
        </w:rPr>
      </w:pPr>
      <w:r w:rsidRPr="00CF74EF">
        <w:rPr>
          <w:rStyle w:val="markedcontent"/>
          <w:rFonts w:cs="Arial"/>
          <w:b/>
          <w:bCs/>
          <w:sz w:val="26"/>
          <w:szCs w:val="26"/>
        </w:rPr>
        <w:t>Требования к юридическим лицам и кредитным организациям, предоставившим обеспечение</w:t>
      </w:r>
    </w:p>
    <w:p w14:paraId="2EF96E1E" w14:textId="77777777" w:rsidR="00ED2229" w:rsidRPr="00CF74EF" w:rsidRDefault="00ED2229" w:rsidP="00ED2229">
      <w:pPr>
        <w:pStyle w:val="af1"/>
        <w:spacing w:before="0" w:line="240" w:lineRule="auto"/>
        <w:ind w:firstLine="720"/>
        <w:jc w:val="center"/>
        <w:rPr>
          <w:rStyle w:val="markedcontent"/>
          <w:rFonts w:cs="Arial"/>
          <w:b/>
          <w:bCs/>
          <w:sz w:val="26"/>
          <w:szCs w:val="26"/>
        </w:rPr>
      </w:pPr>
    </w:p>
    <w:p w14:paraId="32023291" w14:textId="77777777" w:rsidR="00ED2229" w:rsidRPr="00CF74EF" w:rsidRDefault="00ED2229" w:rsidP="00ED2229">
      <w:pPr>
        <w:pStyle w:val="af1"/>
        <w:spacing w:before="0" w:line="240" w:lineRule="auto"/>
        <w:ind w:firstLine="720"/>
        <w:rPr>
          <w:rStyle w:val="markedcontent"/>
          <w:rFonts w:cs="Arial"/>
          <w:sz w:val="26"/>
          <w:szCs w:val="26"/>
        </w:rPr>
      </w:pPr>
      <w:r w:rsidRPr="00CF74EF">
        <w:rPr>
          <w:rStyle w:val="markedcontent"/>
          <w:rFonts w:cs="Arial"/>
          <w:i/>
          <w:iCs/>
          <w:sz w:val="26"/>
          <w:szCs w:val="26"/>
          <w:u w:val="single"/>
        </w:rPr>
        <w:t>Юридическое лицо должно соответствовать следующим требованиям</w:t>
      </w:r>
      <w:r w:rsidRPr="00CF74EF">
        <w:rPr>
          <w:rStyle w:val="markedcontent"/>
          <w:rFonts w:cs="Arial"/>
          <w:sz w:val="26"/>
          <w:szCs w:val="26"/>
        </w:rPr>
        <w:t>:</w:t>
      </w:r>
    </w:p>
    <w:p w14:paraId="195AAAF6" w14:textId="6C1B2D6D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 xml:space="preserve">иметь положительную (или отсутствие отрицательной) кредитную историю </w:t>
      </w:r>
      <w:r w:rsidRPr="00CF74EF">
        <w:rPr>
          <w:rFonts w:ascii="Times New Roman" w:hAnsi="Times New Roman"/>
          <w:sz w:val="26"/>
          <w:szCs w:val="26"/>
        </w:rPr>
        <w:br/>
        <w:t>за последние 180 календарных дней, предшествующих дате заключения договора займа (кредитная история считается отрицательной в случае наличия двух и более просроченных на срок более 30 календарных дней платежей по кредиту/займу);</w:t>
      </w:r>
    </w:p>
    <w:p w14:paraId="465D6161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Style w:val="markedcontent"/>
          <w:rFonts w:ascii="Times New Roman" w:hAnsi="Times New Roman"/>
          <w:sz w:val="26"/>
          <w:szCs w:val="26"/>
        </w:rPr>
        <w:t>раскрыть состав участников (акционеров);</w:t>
      </w:r>
    </w:p>
    <w:p w14:paraId="076DA10E" w14:textId="69AAAE33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Style w:val="markedcontent"/>
          <w:rFonts w:ascii="Times New Roman" w:hAnsi="Times New Roman"/>
          <w:sz w:val="26"/>
          <w:szCs w:val="26"/>
        </w:rPr>
        <w:t>не находиться в процессе банкротства, ликвидации, реорганизации (за исключением реорганизации в форме преобразования, а также реорганизации институтов развития и кредитных организаций, предоставивших</w:t>
      </w:r>
      <w:r w:rsidRPr="00CF74EF">
        <w:rPr>
          <w:rFonts w:ascii="Times New Roman" w:hAnsi="Times New Roman"/>
          <w:sz w:val="26"/>
          <w:szCs w:val="26"/>
        </w:rPr>
        <w:t xml:space="preserve"> </w:t>
      </w:r>
      <w:r w:rsidRPr="00CF74EF">
        <w:rPr>
          <w:rStyle w:val="markedcontent"/>
          <w:rFonts w:ascii="Times New Roman" w:hAnsi="Times New Roman"/>
          <w:sz w:val="26"/>
          <w:szCs w:val="26"/>
        </w:rPr>
        <w:t>гарантии/поручительства, и (или) третьих лиц, предоставивших в залог имущество);</w:t>
      </w:r>
    </w:p>
    <w:p w14:paraId="13C84F42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Style w:val="markedcontent"/>
          <w:rFonts w:ascii="Times New Roman" w:hAnsi="Times New Roman"/>
          <w:sz w:val="26"/>
          <w:szCs w:val="26"/>
        </w:rPr>
      </w:pPr>
      <w:r w:rsidRPr="00CF74EF">
        <w:rPr>
          <w:rStyle w:val="markedcontent"/>
          <w:rFonts w:ascii="Times New Roman" w:hAnsi="Times New Roman"/>
          <w:sz w:val="26"/>
          <w:szCs w:val="26"/>
        </w:rPr>
        <w:t>не иметь незавершенных судебных разбирательств или</w:t>
      </w:r>
      <w:r w:rsidRPr="00CF74EF">
        <w:rPr>
          <w:rFonts w:ascii="Times New Roman" w:hAnsi="Times New Roman"/>
          <w:sz w:val="26"/>
          <w:szCs w:val="26"/>
        </w:rPr>
        <w:t xml:space="preserve"> </w:t>
      </w:r>
      <w:r w:rsidRPr="00CF74EF">
        <w:rPr>
          <w:rStyle w:val="markedcontent"/>
          <w:rFonts w:ascii="Times New Roman" w:hAnsi="Times New Roman"/>
          <w:sz w:val="26"/>
          <w:szCs w:val="26"/>
        </w:rPr>
        <w:t>неурегулированных требований по вступившим в законную силу решениям суда,</w:t>
      </w:r>
      <w:r w:rsidRPr="00CF74EF">
        <w:rPr>
          <w:rFonts w:ascii="Times New Roman" w:hAnsi="Times New Roman"/>
          <w:sz w:val="26"/>
          <w:szCs w:val="26"/>
        </w:rPr>
        <w:t xml:space="preserve"> </w:t>
      </w:r>
      <w:r w:rsidRPr="00CF74EF">
        <w:rPr>
          <w:rStyle w:val="markedcontent"/>
          <w:rFonts w:ascii="Times New Roman" w:hAnsi="Times New Roman"/>
          <w:sz w:val="26"/>
          <w:szCs w:val="26"/>
        </w:rPr>
        <w:t>незавершенных исполнительных производств, неисполненных и неоспариваемых</w:t>
      </w:r>
      <w:r w:rsidRPr="00CF74EF">
        <w:rPr>
          <w:rFonts w:ascii="Times New Roman" w:hAnsi="Times New Roman"/>
          <w:sz w:val="26"/>
          <w:szCs w:val="26"/>
        </w:rPr>
        <w:t xml:space="preserve"> </w:t>
      </w:r>
      <w:r w:rsidRPr="00CF74EF">
        <w:rPr>
          <w:rStyle w:val="markedcontent"/>
          <w:rFonts w:ascii="Times New Roman" w:hAnsi="Times New Roman"/>
          <w:sz w:val="26"/>
          <w:szCs w:val="26"/>
        </w:rPr>
        <w:t>решений контрольных (надзорных) органов в совокупном объеме, превышающем</w:t>
      </w:r>
      <w:r w:rsidRPr="00CF74EF">
        <w:rPr>
          <w:rFonts w:ascii="Times New Roman" w:hAnsi="Times New Roman"/>
          <w:sz w:val="26"/>
          <w:szCs w:val="26"/>
        </w:rPr>
        <w:t xml:space="preserve"> </w:t>
      </w:r>
      <w:r w:rsidRPr="00CF74EF">
        <w:rPr>
          <w:rStyle w:val="markedcontent"/>
          <w:rFonts w:ascii="Times New Roman" w:hAnsi="Times New Roman"/>
          <w:sz w:val="26"/>
          <w:szCs w:val="26"/>
        </w:rPr>
        <w:t>10% от стоимости балансовых активов такого лица;</w:t>
      </w:r>
    </w:p>
    <w:p w14:paraId="63E9E85F" w14:textId="4593CD72" w:rsidR="00356776" w:rsidRPr="005B776E" w:rsidRDefault="00ED2229" w:rsidP="00356776">
      <w:pPr>
        <w:pStyle w:val="ConsPlusNormal"/>
        <w:widowControl w:val="0"/>
        <w:numPr>
          <w:ilvl w:val="0"/>
          <w:numId w:val="7"/>
        </w:numPr>
        <w:suppressAutoHyphens w:val="0"/>
        <w:autoSpaceDE w:val="0"/>
        <w:adjustRightInd w:val="0"/>
        <w:spacing w:line="235" w:lineRule="auto"/>
        <w:ind w:left="0"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sz w:val="26"/>
          <w:szCs w:val="26"/>
        </w:rPr>
        <w:t xml:space="preserve">отсутствие сведений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 и физических лиц, в отношении которых имеются сведения об их причастности к распространению оружия массового уничтожения, </w:t>
      </w:r>
      <w:r w:rsidR="00356776" w:rsidRPr="005B776E">
        <w:rPr>
          <w:rFonts w:ascii="Times New Roman" w:hAnsi="Times New Roman" w:cs="Times New Roman"/>
          <w:sz w:val="26"/>
          <w:szCs w:val="26"/>
        </w:rPr>
        <w:t xml:space="preserve">не находится в составляемых в рамках реализации полномочий, предусмотренных </w:t>
      </w:r>
      <w:hyperlink r:id="rId9" w:tooltip="https://login.consultant.ru/link/?req=doc&amp;base=LAW&amp;n=121087&amp;date=24.09.2024&amp;dst=100142&amp;field=134" w:history="1">
        <w:r w:rsidR="00356776" w:rsidRPr="005B776E">
          <w:rPr>
            <w:rStyle w:val="aff0"/>
            <w:rFonts w:ascii="Times New Roman" w:hAnsi="Times New Roman" w:cs="Times New Roman"/>
            <w:sz w:val="26"/>
            <w:szCs w:val="26"/>
          </w:rPr>
          <w:t>главой VII</w:t>
        </w:r>
      </w:hyperlink>
      <w:r w:rsidR="00356776" w:rsidRPr="005B776E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 w:rsidR="00356776" w:rsidRPr="005B776E">
        <w:rPr>
          <w:rFonts w:ascii="Times New Roman" w:hAnsi="Times New Roman" w:cs="Times New Roman"/>
          <w:sz w:val="26"/>
          <w:szCs w:val="26"/>
        </w:rPr>
        <w:br/>
        <w:t xml:space="preserve">и террористами или с распространением оружия массового уничтожения </w:t>
      </w:r>
      <w:r w:rsidRPr="005B776E">
        <w:rPr>
          <w:rFonts w:ascii="Times New Roman" w:hAnsi="Times New Roman" w:cs="Times New Roman"/>
          <w:sz w:val="26"/>
          <w:szCs w:val="26"/>
        </w:rPr>
        <w:t xml:space="preserve">по состоянию на 1 число месяца, в котором подается заявка на </w:t>
      </w:r>
      <w:proofErr w:type="spellStart"/>
      <w:r w:rsidRPr="005B776E">
        <w:rPr>
          <w:rFonts w:ascii="Times New Roman" w:hAnsi="Times New Roman" w:cs="Times New Roman"/>
          <w:sz w:val="26"/>
          <w:szCs w:val="26"/>
        </w:rPr>
        <w:t>займ</w:t>
      </w:r>
      <w:proofErr w:type="spellEnd"/>
      <w:r w:rsidR="00356776" w:rsidRPr="005B776E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689145C" w14:textId="77777777" w:rsidR="006554C4" w:rsidRPr="005B776E" w:rsidRDefault="00CB5A42" w:rsidP="00ED2229">
      <w:pPr>
        <w:pStyle w:val="ConsPlusNormal"/>
        <w:widowControl w:val="0"/>
        <w:numPr>
          <w:ilvl w:val="0"/>
          <w:numId w:val="7"/>
        </w:numPr>
        <w:suppressAutoHyphens w:val="0"/>
        <w:autoSpaceDE w:val="0"/>
        <w:adjustRightInd w:val="0"/>
        <w:spacing w:line="235" w:lineRule="auto"/>
        <w:ind w:left="0"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5B776E">
        <w:rPr>
          <w:rFonts w:ascii="Times New Roman" w:hAnsi="Times New Roman" w:cs="Times New Roman"/>
          <w:sz w:val="26"/>
          <w:szCs w:val="26"/>
        </w:rPr>
        <w:t>деятельность</w:t>
      </w:r>
      <w:r w:rsidR="00603003" w:rsidRPr="005B776E">
        <w:rPr>
          <w:rFonts w:ascii="Times New Roman" w:hAnsi="Times New Roman" w:cs="Times New Roman"/>
          <w:sz w:val="26"/>
          <w:szCs w:val="26"/>
        </w:rPr>
        <w:t xml:space="preserve"> поручителя </w:t>
      </w:r>
    </w:p>
    <w:p w14:paraId="37C939E5" w14:textId="27814D8E" w:rsidR="00CB5A42" w:rsidRPr="00CF74EF" w:rsidRDefault="00356776" w:rsidP="00ED2229">
      <w:pPr>
        <w:pStyle w:val="ConsPlusNormal"/>
        <w:widowControl w:val="0"/>
        <w:numPr>
          <w:ilvl w:val="0"/>
          <w:numId w:val="7"/>
        </w:numPr>
        <w:suppressAutoHyphens w:val="0"/>
        <w:autoSpaceDE w:val="0"/>
        <w:adjustRightInd w:val="0"/>
        <w:spacing w:line="235" w:lineRule="auto"/>
        <w:ind w:left="0"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CF74EF">
        <w:rPr>
          <w:rFonts w:ascii="Times New Roman" w:hAnsi="Times New Roman" w:cs="Times New Roman"/>
          <w:sz w:val="26"/>
          <w:szCs w:val="26"/>
        </w:rPr>
        <w:t>- юридического</w:t>
      </w:r>
      <w:r w:rsidR="00603003" w:rsidRPr="00CF74EF">
        <w:rPr>
          <w:rFonts w:ascii="Times New Roman" w:hAnsi="Times New Roman" w:cs="Times New Roman"/>
          <w:sz w:val="26"/>
          <w:szCs w:val="26"/>
        </w:rPr>
        <w:t xml:space="preserve"> лица </w:t>
      </w:r>
      <w:r w:rsidR="00CB5A42" w:rsidRPr="00CF74EF">
        <w:rPr>
          <w:rFonts w:ascii="Times New Roman" w:hAnsi="Times New Roman" w:cs="Times New Roman"/>
          <w:sz w:val="26"/>
          <w:szCs w:val="26"/>
        </w:rPr>
        <w:t xml:space="preserve">не </w:t>
      </w:r>
      <w:r w:rsidR="00603003" w:rsidRPr="00CF74EF">
        <w:rPr>
          <w:rFonts w:ascii="Times New Roman" w:hAnsi="Times New Roman" w:cs="Times New Roman"/>
          <w:sz w:val="26"/>
          <w:szCs w:val="26"/>
        </w:rPr>
        <w:t xml:space="preserve">должна </w:t>
      </w:r>
      <w:r w:rsidR="00CB5A42" w:rsidRPr="00CF74EF">
        <w:rPr>
          <w:rFonts w:ascii="Times New Roman" w:hAnsi="Times New Roman" w:cs="Times New Roman"/>
          <w:sz w:val="26"/>
          <w:szCs w:val="26"/>
        </w:rPr>
        <w:t>явля</w:t>
      </w:r>
      <w:r w:rsidR="00603003" w:rsidRPr="00CF74EF">
        <w:rPr>
          <w:rFonts w:ascii="Times New Roman" w:hAnsi="Times New Roman" w:cs="Times New Roman"/>
          <w:sz w:val="26"/>
          <w:szCs w:val="26"/>
        </w:rPr>
        <w:t>ть</w:t>
      </w:r>
      <w:r w:rsidR="00CB5A42" w:rsidRPr="00CF74EF">
        <w:rPr>
          <w:rFonts w:ascii="Times New Roman" w:hAnsi="Times New Roman" w:cs="Times New Roman"/>
          <w:sz w:val="26"/>
          <w:szCs w:val="26"/>
        </w:rPr>
        <w:t>ся убыточной</w:t>
      </w:r>
      <w:r w:rsidR="00603003" w:rsidRPr="00CF74EF">
        <w:rPr>
          <w:rFonts w:ascii="Times New Roman" w:hAnsi="Times New Roman" w:cs="Times New Roman"/>
          <w:sz w:val="26"/>
          <w:szCs w:val="26"/>
        </w:rPr>
        <w:t xml:space="preserve"> за последний отчетный период.</w:t>
      </w:r>
    </w:p>
    <w:p w14:paraId="2BBD0EA1" w14:textId="77777777" w:rsidR="00A43129" w:rsidRPr="009612FB" w:rsidRDefault="00A43129" w:rsidP="0013661A">
      <w:pPr>
        <w:pStyle w:val="a8"/>
        <w:widowControl w:val="0"/>
        <w:tabs>
          <w:tab w:val="left" w:pos="1539"/>
        </w:tabs>
        <w:spacing w:line="270" w:lineRule="exact"/>
        <w:ind w:right="-24" w:firstLine="0"/>
        <w:rPr>
          <w:rFonts w:ascii="Times New Roman" w:eastAsia="Arial Narrow" w:hAnsi="Times New Roman" w:cs="Times New Roman"/>
          <w:sz w:val="24"/>
          <w:szCs w:val="24"/>
        </w:rPr>
      </w:pPr>
    </w:p>
    <w:p w14:paraId="0EE6FAD4" w14:textId="77777777" w:rsidR="00ED2229" w:rsidRPr="00CF74EF" w:rsidRDefault="00ED2229" w:rsidP="00ED2229">
      <w:pPr>
        <w:pStyle w:val="af1"/>
        <w:spacing w:before="0" w:line="240" w:lineRule="auto"/>
        <w:ind w:firstLine="720"/>
        <w:rPr>
          <w:rStyle w:val="markedcontent"/>
          <w:rFonts w:cs="Arial"/>
          <w:sz w:val="26"/>
          <w:szCs w:val="26"/>
        </w:rPr>
      </w:pPr>
      <w:r w:rsidRPr="00CF74EF">
        <w:rPr>
          <w:rStyle w:val="markedcontent"/>
          <w:rFonts w:cs="Arial"/>
          <w:i/>
          <w:iCs/>
          <w:sz w:val="26"/>
          <w:szCs w:val="26"/>
          <w:u w:val="single"/>
        </w:rPr>
        <w:t>Кредитная организация должна соответствовать следующим требованиям</w:t>
      </w:r>
      <w:r w:rsidRPr="00CF74EF">
        <w:rPr>
          <w:rStyle w:val="markedcontent"/>
          <w:rFonts w:cs="Arial"/>
          <w:sz w:val="26"/>
          <w:szCs w:val="26"/>
        </w:rPr>
        <w:t>:</w:t>
      </w:r>
    </w:p>
    <w:p w14:paraId="4E313D4E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 xml:space="preserve"> наличие у Кредитной организации универсальной или базовой лицензии Центрального банка Российской Федерации на осуществление банковских операций;</w:t>
      </w:r>
    </w:p>
    <w:p w14:paraId="5209AC35" w14:textId="77777777" w:rsidR="00ED2229" w:rsidRPr="00CF74EF" w:rsidRDefault="00ED2229" w:rsidP="00FA1C51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 xml:space="preserve">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"A-(RU)" или кредитного рейтингового агентства Акционерное общество "Рейтинговое агентство "Эксперт РА" не ниже уровня "</w:t>
      </w:r>
      <w:proofErr w:type="spellStart"/>
      <w:r w:rsidRPr="00CF74EF">
        <w:rPr>
          <w:rFonts w:ascii="Times New Roman" w:hAnsi="Times New Roman"/>
          <w:sz w:val="26"/>
          <w:szCs w:val="26"/>
        </w:rPr>
        <w:t>ruA</w:t>
      </w:r>
      <w:proofErr w:type="spellEnd"/>
      <w:r w:rsidRPr="00CF74EF">
        <w:rPr>
          <w:rFonts w:ascii="Times New Roman" w:hAnsi="Times New Roman"/>
          <w:sz w:val="26"/>
          <w:szCs w:val="26"/>
        </w:rPr>
        <w:t>-";</w:t>
      </w:r>
    </w:p>
    <w:p w14:paraId="5820430C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lastRenderedPageBreak/>
        <w:t xml:space="preserve"> срок деятельности Кредитной организации с даты ее регистрации составляет не менее 10 (десяти) лет;</w:t>
      </w:r>
    </w:p>
    <w:p w14:paraId="68B8FC5F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 xml:space="preserve"> отсутствие действующей в отношении Кредитной организации меры воздействия, применённой Центральным банком Российской Федерации за нарушение обязательных нормативов, установленных в соответствии с Федеральным законом от 10 июля 2002 года № 86-ФЗ «О Центральном банке Российской Федерации (Банке России)»;</w:t>
      </w:r>
    </w:p>
    <w:p w14:paraId="1BB6C0A0" w14:textId="77777777" w:rsidR="00ED2229" w:rsidRPr="00CF74EF" w:rsidRDefault="00ED2229" w:rsidP="00ED2229">
      <w:pPr>
        <w:pStyle w:val="a5"/>
        <w:numPr>
          <w:ilvl w:val="0"/>
          <w:numId w:val="7"/>
        </w:numPr>
        <w:tabs>
          <w:tab w:val="left" w:pos="993"/>
        </w:tabs>
        <w:suppressAutoHyphens w:val="0"/>
        <w:autoSpaceDE w:val="0"/>
        <w:adjustRightInd w:val="0"/>
        <w:spacing w:after="0"/>
        <w:ind w:left="0" w:firstLine="720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 xml:space="preserve"> наличие у Кредитной организации действующего на территории Белгородской области одного из указанных структурных подразделений: филиал, представительство, операционный офис Кредитной организации.</w:t>
      </w:r>
    </w:p>
    <w:p w14:paraId="4D08741E" w14:textId="0CD38691" w:rsidR="00ED2229" w:rsidRPr="00ED2229" w:rsidRDefault="004C4114" w:rsidP="00924DAF">
      <w:pPr>
        <w:pStyle w:val="a5"/>
        <w:tabs>
          <w:tab w:val="left" w:pos="993"/>
        </w:tabs>
        <w:suppressAutoHyphens w:val="0"/>
        <w:autoSpaceDE w:val="0"/>
        <w:adjustRightInd w:val="0"/>
        <w:spacing w:after="0"/>
        <w:ind w:left="0" w:firstLine="709"/>
        <w:contextualSpacing/>
        <w:textAlignment w:val="auto"/>
        <w:rPr>
          <w:rFonts w:ascii="Times New Roman" w:hAnsi="Times New Roman"/>
          <w:sz w:val="26"/>
          <w:szCs w:val="26"/>
        </w:rPr>
      </w:pPr>
      <w:r w:rsidRPr="00CF74EF">
        <w:rPr>
          <w:rFonts w:ascii="Times New Roman" w:hAnsi="Times New Roman"/>
          <w:sz w:val="26"/>
          <w:szCs w:val="26"/>
        </w:rPr>
        <w:t>РФРП</w:t>
      </w:r>
      <w:r w:rsidR="00ED2229" w:rsidRPr="00CF74EF">
        <w:rPr>
          <w:rFonts w:ascii="Times New Roman" w:hAnsi="Times New Roman"/>
          <w:sz w:val="26"/>
          <w:szCs w:val="26"/>
        </w:rPr>
        <w:t xml:space="preserve"> вправе установить дополнительные требования к Кредитным организациям.</w:t>
      </w:r>
      <w:r w:rsidR="00ED2229" w:rsidRPr="00ED2229">
        <w:rPr>
          <w:rFonts w:ascii="Times New Roman" w:hAnsi="Times New Roman"/>
          <w:sz w:val="26"/>
          <w:szCs w:val="26"/>
        </w:rPr>
        <w:t xml:space="preserve"> </w:t>
      </w:r>
    </w:p>
    <w:sectPr w:rsidR="00ED2229" w:rsidRPr="00ED2229" w:rsidSect="00E445B9">
      <w:headerReference w:type="default" r:id="rId10"/>
      <w:headerReference w:type="first" r:id="rId11"/>
      <w:pgSz w:w="11906" w:h="16838"/>
      <w:pgMar w:top="1134" w:right="707" w:bottom="1134" w:left="1701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EB7D" w14:textId="77777777" w:rsidR="00E3567A" w:rsidRDefault="00E3567A">
      <w:pPr>
        <w:spacing w:after="0"/>
      </w:pPr>
      <w:r>
        <w:separator/>
      </w:r>
    </w:p>
  </w:endnote>
  <w:endnote w:type="continuationSeparator" w:id="0">
    <w:p w14:paraId="0A81D1F4" w14:textId="77777777" w:rsidR="00E3567A" w:rsidRDefault="00E356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812BB" w14:textId="77777777" w:rsidR="00E3567A" w:rsidRDefault="00E3567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0956ED2" w14:textId="77777777" w:rsidR="00E3567A" w:rsidRDefault="00E356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C63C" w14:textId="77777777" w:rsidR="008A7651" w:rsidRPr="00E445B9" w:rsidRDefault="008A7651" w:rsidP="008A7651">
    <w:pPr>
      <w:pStyle w:val="aa"/>
      <w:ind w:firstLine="0"/>
      <w:jc w:val="center"/>
      <w:rPr>
        <w:rFonts w:ascii="Times New Roman" w:hAnsi="Times New Roman" w:cs="Times New Roman"/>
      </w:rPr>
    </w:pPr>
    <w:r w:rsidRPr="00E445B9">
      <w:rPr>
        <w:rFonts w:ascii="Times New Roman" w:hAnsi="Times New Roman" w:cs="Times New Roman"/>
      </w:rPr>
      <w:fldChar w:fldCharType="begin"/>
    </w:r>
    <w:r w:rsidRPr="00E445B9">
      <w:rPr>
        <w:rFonts w:ascii="Times New Roman" w:hAnsi="Times New Roman" w:cs="Times New Roman"/>
      </w:rPr>
      <w:instrText>PAGE   \* MERGEFORMAT</w:instrText>
    </w:r>
    <w:r w:rsidRPr="00E445B9">
      <w:rPr>
        <w:rFonts w:ascii="Times New Roman" w:hAnsi="Times New Roman" w:cs="Times New Roman"/>
      </w:rPr>
      <w:fldChar w:fldCharType="separate"/>
    </w:r>
    <w:r w:rsidR="005F146D">
      <w:rPr>
        <w:rFonts w:ascii="Times New Roman" w:hAnsi="Times New Roman" w:cs="Times New Roman"/>
        <w:noProof/>
      </w:rPr>
      <w:t>14</w:t>
    </w:r>
    <w:r w:rsidRPr="00E445B9">
      <w:rPr>
        <w:rFonts w:ascii="Times New Roman" w:hAnsi="Times New Roman" w:cs="Times New Roman"/>
      </w:rPr>
      <w:fldChar w:fldCharType="end"/>
    </w:r>
  </w:p>
  <w:p w14:paraId="7104AC88" w14:textId="77777777" w:rsidR="008A7651" w:rsidRDefault="008A765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7F8E" w14:textId="77777777" w:rsidR="008A7651" w:rsidRDefault="008A7651" w:rsidP="008A7651">
    <w:pPr>
      <w:pStyle w:val="aa"/>
      <w:jc w:val="center"/>
    </w:pPr>
  </w:p>
  <w:p w14:paraId="7E2B5BB9" w14:textId="77777777" w:rsidR="008A7651" w:rsidRDefault="008A7651" w:rsidP="008A765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3CD1"/>
    <w:multiLevelType w:val="multilevel"/>
    <w:tmpl w:val="E1C83A78"/>
    <w:styleLink w:val="WWNum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2032E"/>
    <w:multiLevelType w:val="multilevel"/>
    <w:tmpl w:val="6DA0148A"/>
    <w:styleLink w:val="WWNum1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F2127"/>
    <w:multiLevelType w:val="hybridMultilevel"/>
    <w:tmpl w:val="367E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D6BB8"/>
    <w:multiLevelType w:val="multilevel"/>
    <w:tmpl w:val="A4F4BFF0"/>
    <w:styleLink w:val="WWNum13"/>
    <w:lvl w:ilvl="0">
      <w:start w:val="1"/>
      <w:numFmt w:val="decimal"/>
      <w:lvlText w:val="%1)"/>
      <w:lvlJc w:val="left"/>
      <w:pPr>
        <w:ind w:left="124" w:hanging="284"/>
      </w:pPr>
      <w:rPr>
        <w:rFonts w:eastAsia="Arial Narrow" w:cs="Arial Narrow"/>
        <w:w w:val="100"/>
        <w:sz w:val="22"/>
        <w:szCs w:val="22"/>
      </w:rPr>
    </w:lvl>
    <w:lvl w:ilvl="1">
      <w:numFmt w:val="bullet"/>
      <w:lvlText w:val="•"/>
      <w:lvlJc w:val="left"/>
      <w:pPr>
        <w:ind w:left="861" w:hanging="284"/>
      </w:pPr>
    </w:lvl>
    <w:lvl w:ilvl="2">
      <w:numFmt w:val="bullet"/>
      <w:lvlText w:val="•"/>
      <w:lvlJc w:val="left"/>
      <w:pPr>
        <w:ind w:left="1602" w:hanging="284"/>
      </w:pPr>
    </w:lvl>
    <w:lvl w:ilvl="3">
      <w:numFmt w:val="bullet"/>
      <w:lvlText w:val="•"/>
      <w:lvlJc w:val="left"/>
      <w:pPr>
        <w:ind w:left="2343" w:hanging="284"/>
      </w:pPr>
    </w:lvl>
    <w:lvl w:ilvl="4">
      <w:numFmt w:val="bullet"/>
      <w:lvlText w:val="•"/>
      <w:lvlJc w:val="left"/>
      <w:pPr>
        <w:ind w:left="3084" w:hanging="284"/>
      </w:pPr>
    </w:lvl>
    <w:lvl w:ilvl="5">
      <w:numFmt w:val="bullet"/>
      <w:lvlText w:val="•"/>
      <w:lvlJc w:val="left"/>
      <w:pPr>
        <w:ind w:left="3825" w:hanging="284"/>
      </w:pPr>
    </w:lvl>
    <w:lvl w:ilvl="6">
      <w:numFmt w:val="bullet"/>
      <w:lvlText w:val="•"/>
      <w:lvlJc w:val="left"/>
      <w:pPr>
        <w:ind w:left="4566" w:hanging="284"/>
      </w:pPr>
    </w:lvl>
    <w:lvl w:ilvl="7">
      <w:numFmt w:val="bullet"/>
      <w:lvlText w:val="•"/>
      <w:lvlJc w:val="left"/>
      <w:pPr>
        <w:ind w:left="5307" w:hanging="284"/>
      </w:pPr>
    </w:lvl>
    <w:lvl w:ilvl="8">
      <w:numFmt w:val="bullet"/>
      <w:lvlText w:val="•"/>
      <w:lvlJc w:val="left"/>
      <w:pPr>
        <w:ind w:left="6048" w:hanging="284"/>
      </w:pPr>
    </w:lvl>
  </w:abstractNum>
  <w:abstractNum w:abstractNumId="4" w15:restartNumberingAfterBreak="0">
    <w:nsid w:val="11150F62"/>
    <w:multiLevelType w:val="hybridMultilevel"/>
    <w:tmpl w:val="7BA4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95B"/>
    <w:multiLevelType w:val="multilevel"/>
    <w:tmpl w:val="C510AF76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CDD04E3"/>
    <w:multiLevelType w:val="multilevel"/>
    <w:tmpl w:val="651C643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993" w:hanging="567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760455D"/>
    <w:multiLevelType w:val="multilevel"/>
    <w:tmpl w:val="7EBECCD0"/>
    <w:styleLink w:val="WWNum19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13267E"/>
    <w:multiLevelType w:val="multilevel"/>
    <w:tmpl w:val="BD526C80"/>
    <w:styleLink w:val="WWNum17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323849CD"/>
    <w:multiLevelType w:val="hybridMultilevel"/>
    <w:tmpl w:val="19AC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08E8"/>
    <w:multiLevelType w:val="hybridMultilevel"/>
    <w:tmpl w:val="E4DC5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1EB6"/>
    <w:multiLevelType w:val="multilevel"/>
    <w:tmpl w:val="E4B80DA0"/>
    <w:styleLink w:val="WWNum1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2" w15:restartNumberingAfterBreak="0">
    <w:nsid w:val="38D16087"/>
    <w:multiLevelType w:val="hybridMultilevel"/>
    <w:tmpl w:val="6DE20E48"/>
    <w:lvl w:ilvl="0" w:tplc="6BC4CDD0">
      <w:start w:val="1"/>
      <w:numFmt w:val="upperRoman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3CF67882"/>
    <w:multiLevelType w:val="multilevel"/>
    <w:tmpl w:val="E5F0BE2A"/>
    <w:styleLink w:val="WWNum22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8" w:hanging="45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360"/>
      </w:pPr>
      <w:rPr>
        <w:rFonts w:cs="Times New Roman"/>
      </w:rPr>
    </w:lvl>
  </w:abstractNum>
  <w:abstractNum w:abstractNumId="14" w15:restartNumberingAfterBreak="0">
    <w:nsid w:val="3CFF309A"/>
    <w:multiLevelType w:val="multilevel"/>
    <w:tmpl w:val="8CB6BDAE"/>
    <w:styleLink w:val="WWNum11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5" w15:restartNumberingAfterBreak="0">
    <w:nsid w:val="40B23DA8"/>
    <w:multiLevelType w:val="multilevel"/>
    <w:tmpl w:val="A36ABCA0"/>
    <w:styleLink w:val="WWNum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BD1F1C"/>
    <w:multiLevelType w:val="hybridMultilevel"/>
    <w:tmpl w:val="8E1E953A"/>
    <w:lvl w:ilvl="0" w:tplc="82264D80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1FB6D1F"/>
    <w:multiLevelType w:val="multilevel"/>
    <w:tmpl w:val="26444BD2"/>
    <w:styleLink w:val="WWNum16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2E5089A"/>
    <w:multiLevelType w:val="multilevel"/>
    <w:tmpl w:val="4A2CD65E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9" w15:restartNumberingAfterBreak="0">
    <w:nsid w:val="46A9765A"/>
    <w:multiLevelType w:val="multilevel"/>
    <w:tmpl w:val="6D3E7AE8"/>
    <w:styleLink w:val="WWNum10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20" w15:restartNumberingAfterBreak="0">
    <w:nsid w:val="489A0AE4"/>
    <w:multiLevelType w:val="multilevel"/>
    <w:tmpl w:val="0E52BAEA"/>
    <w:styleLink w:val="Outline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1584"/>
      </w:pPr>
      <w:rPr>
        <w:rFonts w:cs="Times New Roman"/>
      </w:rPr>
    </w:lvl>
  </w:abstractNum>
  <w:abstractNum w:abstractNumId="21" w15:restartNumberingAfterBreak="0">
    <w:nsid w:val="498D5B20"/>
    <w:multiLevelType w:val="multilevel"/>
    <w:tmpl w:val="4622D420"/>
    <w:styleLink w:val="WWNum2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A7437B"/>
    <w:multiLevelType w:val="multilevel"/>
    <w:tmpl w:val="F10C224A"/>
    <w:styleLink w:val="WWNum8"/>
    <w:lvl w:ilvl="0">
      <w:numFmt w:val="bullet"/>
      <w:lvlText w:val=""/>
      <w:lvlJc w:val="left"/>
      <w:pPr>
        <w:ind w:left="163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23" w15:restartNumberingAfterBreak="0">
    <w:nsid w:val="59107E09"/>
    <w:multiLevelType w:val="hybridMultilevel"/>
    <w:tmpl w:val="6DE20E48"/>
    <w:lvl w:ilvl="0" w:tplc="FFFFFFFF">
      <w:start w:val="1"/>
      <w:numFmt w:val="upperRoman"/>
      <w:lvlText w:val="%1."/>
      <w:lvlJc w:val="left"/>
      <w:pPr>
        <w:ind w:left="8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64" w:hanging="360"/>
      </w:pPr>
    </w:lvl>
    <w:lvl w:ilvl="2" w:tplc="FFFFFFFF" w:tentative="1">
      <w:start w:val="1"/>
      <w:numFmt w:val="lowerRoman"/>
      <w:lvlText w:val="%3."/>
      <w:lvlJc w:val="right"/>
      <w:pPr>
        <w:ind w:left="2284" w:hanging="180"/>
      </w:pPr>
    </w:lvl>
    <w:lvl w:ilvl="3" w:tplc="FFFFFFFF" w:tentative="1">
      <w:start w:val="1"/>
      <w:numFmt w:val="decimal"/>
      <w:lvlText w:val="%4."/>
      <w:lvlJc w:val="left"/>
      <w:pPr>
        <w:ind w:left="3004" w:hanging="360"/>
      </w:pPr>
    </w:lvl>
    <w:lvl w:ilvl="4" w:tplc="FFFFFFFF" w:tentative="1">
      <w:start w:val="1"/>
      <w:numFmt w:val="lowerLetter"/>
      <w:lvlText w:val="%5."/>
      <w:lvlJc w:val="left"/>
      <w:pPr>
        <w:ind w:left="3724" w:hanging="360"/>
      </w:pPr>
    </w:lvl>
    <w:lvl w:ilvl="5" w:tplc="FFFFFFFF" w:tentative="1">
      <w:start w:val="1"/>
      <w:numFmt w:val="lowerRoman"/>
      <w:lvlText w:val="%6."/>
      <w:lvlJc w:val="right"/>
      <w:pPr>
        <w:ind w:left="4444" w:hanging="180"/>
      </w:pPr>
    </w:lvl>
    <w:lvl w:ilvl="6" w:tplc="FFFFFFFF" w:tentative="1">
      <w:start w:val="1"/>
      <w:numFmt w:val="decimal"/>
      <w:lvlText w:val="%7."/>
      <w:lvlJc w:val="left"/>
      <w:pPr>
        <w:ind w:left="5164" w:hanging="360"/>
      </w:pPr>
    </w:lvl>
    <w:lvl w:ilvl="7" w:tplc="FFFFFFFF" w:tentative="1">
      <w:start w:val="1"/>
      <w:numFmt w:val="lowerLetter"/>
      <w:lvlText w:val="%8."/>
      <w:lvlJc w:val="left"/>
      <w:pPr>
        <w:ind w:left="5884" w:hanging="360"/>
      </w:pPr>
    </w:lvl>
    <w:lvl w:ilvl="8" w:tplc="FFFFFFFF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4" w15:restartNumberingAfterBreak="0">
    <w:nsid w:val="598225E1"/>
    <w:multiLevelType w:val="multilevel"/>
    <w:tmpl w:val="B9B86F56"/>
    <w:styleLink w:val="WWNum5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5" w15:restartNumberingAfterBreak="0">
    <w:nsid w:val="5CC008DF"/>
    <w:multiLevelType w:val="multilevel"/>
    <w:tmpl w:val="00EA8E6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14909DC"/>
    <w:multiLevelType w:val="multilevel"/>
    <w:tmpl w:val="B8C60704"/>
    <w:styleLink w:val="WWNum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7" w15:restartNumberingAfterBreak="0">
    <w:nsid w:val="637717F0"/>
    <w:multiLevelType w:val="multilevel"/>
    <w:tmpl w:val="272E6D4C"/>
    <w:styleLink w:val="WWNum2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267096"/>
    <w:multiLevelType w:val="multilevel"/>
    <w:tmpl w:val="071C0BAA"/>
    <w:styleLink w:val="WWNum2"/>
    <w:lvl w:ilvl="0">
      <w:start w:val="1"/>
      <w:numFmt w:val="decimal"/>
      <w:lvlText w:val="%1."/>
      <w:lvlJc w:val="left"/>
      <w:pPr>
        <w:ind w:left="482" w:hanging="34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38" w:hanging="45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163" w:hanging="68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82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82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2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2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82" w:hanging="360"/>
      </w:pPr>
      <w:rPr>
        <w:rFonts w:cs="Times New Roman"/>
      </w:rPr>
    </w:lvl>
  </w:abstractNum>
  <w:abstractNum w:abstractNumId="29" w15:restartNumberingAfterBreak="0">
    <w:nsid w:val="6B753517"/>
    <w:multiLevelType w:val="hybridMultilevel"/>
    <w:tmpl w:val="B310E9E6"/>
    <w:lvl w:ilvl="0" w:tplc="DBA263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757469"/>
    <w:multiLevelType w:val="hybridMultilevel"/>
    <w:tmpl w:val="F56E3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C95B8C"/>
    <w:multiLevelType w:val="multilevel"/>
    <w:tmpl w:val="A4503BC6"/>
    <w:styleLink w:val="WWNum9"/>
    <w:lvl w:ilvl="0">
      <w:numFmt w:val="bullet"/>
      <w:lvlText w:val=""/>
      <w:lvlJc w:val="left"/>
      <w:pPr>
        <w:ind w:left="12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90" w:hanging="360"/>
      </w:pPr>
      <w:rPr>
        <w:rFonts w:ascii="Wingdings" w:hAnsi="Wingdings"/>
      </w:rPr>
    </w:lvl>
  </w:abstractNum>
  <w:abstractNum w:abstractNumId="32" w15:restartNumberingAfterBreak="0">
    <w:nsid w:val="7F134027"/>
    <w:multiLevelType w:val="multilevel"/>
    <w:tmpl w:val="C194CCD4"/>
    <w:styleLink w:val="WWNum14"/>
    <w:lvl w:ilvl="0">
      <w:numFmt w:val="bullet"/>
      <w:lvlText w:val=""/>
      <w:lvlJc w:val="left"/>
      <w:pPr>
        <w:ind w:left="103" w:hanging="305"/>
      </w:pPr>
      <w:rPr>
        <w:rFonts w:ascii="Symbol" w:eastAsia="Symbol" w:hAnsi="Symbol" w:cs="Symbol"/>
        <w:w w:val="100"/>
        <w:sz w:val="24"/>
        <w:szCs w:val="24"/>
      </w:rPr>
    </w:lvl>
    <w:lvl w:ilvl="1">
      <w:numFmt w:val="bullet"/>
      <w:lvlText w:val="•"/>
      <w:lvlJc w:val="left"/>
      <w:pPr>
        <w:ind w:left="843" w:hanging="305"/>
      </w:pPr>
    </w:lvl>
    <w:lvl w:ilvl="2">
      <w:numFmt w:val="bullet"/>
      <w:lvlText w:val="•"/>
      <w:lvlJc w:val="left"/>
      <w:pPr>
        <w:ind w:left="1586" w:hanging="305"/>
      </w:pPr>
    </w:lvl>
    <w:lvl w:ilvl="3">
      <w:numFmt w:val="bullet"/>
      <w:lvlText w:val="•"/>
      <w:lvlJc w:val="left"/>
      <w:pPr>
        <w:ind w:left="2329" w:hanging="305"/>
      </w:pPr>
    </w:lvl>
    <w:lvl w:ilvl="4">
      <w:numFmt w:val="bullet"/>
      <w:lvlText w:val="•"/>
      <w:lvlJc w:val="left"/>
      <w:pPr>
        <w:ind w:left="3072" w:hanging="305"/>
      </w:pPr>
    </w:lvl>
    <w:lvl w:ilvl="5">
      <w:numFmt w:val="bullet"/>
      <w:lvlText w:val="•"/>
      <w:lvlJc w:val="left"/>
      <w:pPr>
        <w:ind w:left="3815" w:hanging="305"/>
      </w:pPr>
    </w:lvl>
    <w:lvl w:ilvl="6">
      <w:numFmt w:val="bullet"/>
      <w:lvlText w:val="•"/>
      <w:lvlJc w:val="left"/>
      <w:pPr>
        <w:ind w:left="4558" w:hanging="305"/>
      </w:pPr>
    </w:lvl>
    <w:lvl w:ilvl="7">
      <w:numFmt w:val="bullet"/>
      <w:lvlText w:val="•"/>
      <w:lvlJc w:val="left"/>
      <w:pPr>
        <w:ind w:left="5301" w:hanging="305"/>
      </w:pPr>
    </w:lvl>
    <w:lvl w:ilvl="8">
      <w:numFmt w:val="bullet"/>
      <w:lvlText w:val="•"/>
      <w:lvlJc w:val="left"/>
      <w:pPr>
        <w:ind w:left="6044" w:hanging="305"/>
      </w:pPr>
    </w:lvl>
  </w:abstractNum>
  <w:num w:numId="1" w16cid:durableId="272056444">
    <w:abstractNumId w:val="20"/>
  </w:num>
  <w:num w:numId="2" w16cid:durableId="1578591603">
    <w:abstractNumId w:val="6"/>
  </w:num>
  <w:num w:numId="3" w16cid:durableId="1516269093">
    <w:abstractNumId w:val="28"/>
  </w:num>
  <w:num w:numId="4" w16cid:durableId="358701013">
    <w:abstractNumId w:val="25"/>
  </w:num>
  <w:num w:numId="5" w16cid:durableId="2137332153">
    <w:abstractNumId w:val="5"/>
  </w:num>
  <w:num w:numId="6" w16cid:durableId="833185161">
    <w:abstractNumId w:val="24"/>
  </w:num>
  <w:num w:numId="7" w16cid:durableId="1918007231">
    <w:abstractNumId w:val="26"/>
  </w:num>
  <w:num w:numId="8" w16cid:durableId="1724673105">
    <w:abstractNumId w:val="15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15" w:hanging="432"/>
        </w:pPr>
        <w:rPr>
          <w: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 w16cid:durableId="1329674317">
    <w:abstractNumId w:val="22"/>
  </w:num>
  <w:num w:numId="10" w16cid:durableId="302152625">
    <w:abstractNumId w:val="31"/>
  </w:num>
  <w:num w:numId="11" w16cid:durableId="1901479553">
    <w:abstractNumId w:val="19"/>
  </w:num>
  <w:num w:numId="12" w16cid:durableId="568883154">
    <w:abstractNumId w:val="14"/>
  </w:num>
  <w:num w:numId="13" w16cid:durableId="291644184">
    <w:abstractNumId w:val="11"/>
    <w:lvlOverride w:ilvl="0">
      <w:lvl w:ilvl="0">
        <w:start w:val="1"/>
        <w:numFmt w:val="decimal"/>
        <w:lvlText w:val="%1."/>
        <w:lvlJc w:val="left"/>
        <w:pPr>
          <w:ind w:left="1107" w:hanging="540"/>
        </w:pPr>
        <w:rPr>
          <w:b w:val="0"/>
          <w:color w:val="000000" w:themeColor="text1"/>
        </w:rPr>
      </w:lvl>
    </w:lvlOverride>
  </w:num>
  <w:num w:numId="14" w16cid:durableId="1954167107">
    <w:abstractNumId w:val="3"/>
  </w:num>
  <w:num w:numId="15" w16cid:durableId="1889610963">
    <w:abstractNumId w:val="32"/>
  </w:num>
  <w:num w:numId="16" w16cid:durableId="153764562">
    <w:abstractNumId w:val="18"/>
  </w:num>
  <w:num w:numId="17" w16cid:durableId="1329942907">
    <w:abstractNumId w:val="17"/>
  </w:num>
  <w:num w:numId="18" w16cid:durableId="955213872">
    <w:abstractNumId w:val="8"/>
  </w:num>
  <w:num w:numId="19" w16cid:durableId="1981109492">
    <w:abstractNumId w:val="1"/>
  </w:num>
  <w:num w:numId="20" w16cid:durableId="1704594749">
    <w:abstractNumId w:val="7"/>
  </w:num>
  <w:num w:numId="21" w16cid:durableId="1984117513">
    <w:abstractNumId w:val="0"/>
  </w:num>
  <w:num w:numId="22" w16cid:durableId="2068071005">
    <w:abstractNumId w:val="21"/>
  </w:num>
  <w:num w:numId="23" w16cid:durableId="1460535425">
    <w:abstractNumId w:val="13"/>
  </w:num>
  <w:num w:numId="24" w16cid:durableId="97409501">
    <w:abstractNumId w:val="27"/>
  </w:num>
  <w:num w:numId="25" w16cid:durableId="820190898">
    <w:abstractNumId w:val="15"/>
    <w:lvlOverride w:ilvl="0">
      <w:startOverride w:val="1"/>
    </w:lvlOverride>
  </w:num>
  <w:num w:numId="26" w16cid:durableId="551574874">
    <w:abstractNumId w:val="14"/>
    <w:lvlOverride w:ilvl="0">
      <w:startOverride w:val="1"/>
    </w:lvlOverride>
  </w:num>
  <w:num w:numId="27" w16cid:durableId="1774934481">
    <w:abstractNumId w:val="11"/>
    <w:lvlOverride w:ilvl="0">
      <w:startOverride w:val="1"/>
    </w:lvlOverride>
  </w:num>
  <w:num w:numId="28" w16cid:durableId="345446488">
    <w:abstractNumId w:val="29"/>
  </w:num>
  <w:num w:numId="29" w16cid:durableId="1660234168">
    <w:abstractNumId w:val="12"/>
  </w:num>
  <w:num w:numId="30" w16cid:durableId="1194002632">
    <w:abstractNumId w:val="10"/>
  </w:num>
  <w:num w:numId="31" w16cid:durableId="963849242">
    <w:abstractNumId w:val="2"/>
  </w:num>
  <w:num w:numId="32" w16cid:durableId="1821075718">
    <w:abstractNumId w:val="9"/>
  </w:num>
  <w:num w:numId="33" w16cid:durableId="127092859">
    <w:abstractNumId w:val="30"/>
  </w:num>
  <w:num w:numId="34" w16cid:durableId="136262839">
    <w:abstractNumId w:val="16"/>
  </w:num>
  <w:num w:numId="35" w16cid:durableId="1511070187">
    <w:abstractNumId w:val="23"/>
  </w:num>
  <w:num w:numId="36" w16cid:durableId="277763073">
    <w:abstractNumId w:val="11"/>
  </w:num>
  <w:num w:numId="37" w16cid:durableId="1434743436">
    <w:abstractNumId w:val="15"/>
  </w:num>
  <w:num w:numId="38" w16cid:durableId="1376587140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27"/>
    <w:rsid w:val="00002C4A"/>
    <w:rsid w:val="00004AA8"/>
    <w:rsid w:val="00006DD6"/>
    <w:rsid w:val="00007B39"/>
    <w:rsid w:val="000149C4"/>
    <w:rsid w:val="00014C63"/>
    <w:rsid w:val="00015450"/>
    <w:rsid w:val="00015CD2"/>
    <w:rsid w:val="000162D5"/>
    <w:rsid w:val="00016938"/>
    <w:rsid w:val="000225BC"/>
    <w:rsid w:val="0002521C"/>
    <w:rsid w:val="0002696A"/>
    <w:rsid w:val="000316BB"/>
    <w:rsid w:val="00036ED7"/>
    <w:rsid w:val="00037232"/>
    <w:rsid w:val="00041094"/>
    <w:rsid w:val="00041482"/>
    <w:rsid w:val="00041C88"/>
    <w:rsid w:val="00041C8A"/>
    <w:rsid w:val="0004465C"/>
    <w:rsid w:val="0004483B"/>
    <w:rsid w:val="0004489C"/>
    <w:rsid w:val="00046028"/>
    <w:rsid w:val="00051053"/>
    <w:rsid w:val="00052B95"/>
    <w:rsid w:val="00053999"/>
    <w:rsid w:val="000541B5"/>
    <w:rsid w:val="000549E2"/>
    <w:rsid w:val="0006389A"/>
    <w:rsid w:val="000640CE"/>
    <w:rsid w:val="000644F0"/>
    <w:rsid w:val="00074A3F"/>
    <w:rsid w:val="00074B6F"/>
    <w:rsid w:val="000756EE"/>
    <w:rsid w:val="00075E84"/>
    <w:rsid w:val="00076AD2"/>
    <w:rsid w:val="000773C6"/>
    <w:rsid w:val="00081F61"/>
    <w:rsid w:val="000902FD"/>
    <w:rsid w:val="000957CB"/>
    <w:rsid w:val="00097C28"/>
    <w:rsid w:val="000A074B"/>
    <w:rsid w:val="000A0C28"/>
    <w:rsid w:val="000A10ED"/>
    <w:rsid w:val="000A1DC7"/>
    <w:rsid w:val="000A3491"/>
    <w:rsid w:val="000A3595"/>
    <w:rsid w:val="000A51AA"/>
    <w:rsid w:val="000B25B6"/>
    <w:rsid w:val="000B3F79"/>
    <w:rsid w:val="000B45E2"/>
    <w:rsid w:val="000B5F1E"/>
    <w:rsid w:val="000C0651"/>
    <w:rsid w:val="000C2D09"/>
    <w:rsid w:val="000C44D6"/>
    <w:rsid w:val="000D05C5"/>
    <w:rsid w:val="000D5938"/>
    <w:rsid w:val="000E09B6"/>
    <w:rsid w:val="000E0FEF"/>
    <w:rsid w:val="000E2631"/>
    <w:rsid w:val="00100267"/>
    <w:rsid w:val="00102705"/>
    <w:rsid w:val="00105CA1"/>
    <w:rsid w:val="0010725F"/>
    <w:rsid w:val="00111273"/>
    <w:rsid w:val="0011256C"/>
    <w:rsid w:val="00113743"/>
    <w:rsid w:val="00114FC6"/>
    <w:rsid w:val="0011548A"/>
    <w:rsid w:val="0011792B"/>
    <w:rsid w:val="00122C86"/>
    <w:rsid w:val="00123086"/>
    <w:rsid w:val="001247AD"/>
    <w:rsid w:val="001272DC"/>
    <w:rsid w:val="00130ACA"/>
    <w:rsid w:val="00130EB7"/>
    <w:rsid w:val="00132C61"/>
    <w:rsid w:val="00133719"/>
    <w:rsid w:val="0013661A"/>
    <w:rsid w:val="001400D7"/>
    <w:rsid w:val="00146576"/>
    <w:rsid w:val="0015298A"/>
    <w:rsid w:val="001575E7"/>
    <w:rsid w:val="00162E12"/>
    <w:rsid w:val="00163B35"/>
    <w:rsid w:val="00164831"/>
    <w:rsid w:val="00170DE7"/>
    <w:rsid w:val="0017386D"/>
    <w:rsid w:val="00175200"/>
    <w:rsid w:val="001752B3"/>
    <w:rsid w:val="0018150C"/>
    <w:rsid w:val="00184412"/>
    <w:rsid w:val="00195077"/>
    <w:rsid w:val="001A0C06"/>
    <w:rsid w:val="001B228F"/>
    <w:rsid w:val="001B3A11"/>
    <w:rsid w:val="001B4A12"/>
    <w:rsid w:val="001B610C"/>
    <w:rsid w:val="001B73AA"/>
    <w:rsid w:val="001C16E6"/>
    <w:rsid w:val="001C2FDD"/>
    <w:rsid w:val="001C6717"/>
    <w:rsid w:val="001D55A4"/>
    <w:rsid w:val="001D7C3A"/>
    <w:rsid w:val="001E2AC4"/>
    <w:rsid w:val="001E3886"/>
    <w:rsid w:val="001E5E43"/>
    <w:rsid w:val="001F27B0"/>
    <w:rsid w:val="001F3A46"/>
    <w:rsid w:val="001F3DAB"/>
    <w:rsid w:val="001F5008"/>
    <w:rsid w:val="002022E7"/>
    <w:rsid w:val="00203DDB"/>
    <w:rsid w:val="0020454E"/>
    <w:rsid w:val="00206D6F"/>
    <w:rsid w:val="00207774"/>
    <w:rsid w:val="002125ED"/>
    <w:rsid w:val="002204C3"/>
    <w:rsid w:val="00221107"/>
    <w:rsid w:val="00225F4A"/>
    <w:rsid w:val="00226C4E"/>
    <w:rsid w:val="00232AB5"/>
    <w:rsid w:val="00232E2D"/>
    <w:rsid w:val="002330AF"/>
    <w:rsid w:val="0023395A"/>
    <w:rsid w:val="00233A44"/>
    <w:rsid w:val="00234493"/>
    <w:rsid w:val="00234815"/>
    <w:rsid w:val="0024295F"/>
    <w:rsid w:val="00246AA5"/>
    <w:rsid w:val="00252698"/>
    <w:rsid w:val="0025361C"/>
    <w:rsid w:val="0025500A"/>
    <w:rsid w:val="0026030B"/>
    <w:rsid w:val="00261059"/>
    <w:rsid w:val="00261365"/>
    <w:rsid w:val="00261BB7"/>
    <w:rsid w:val="00264E11"/>
    <w:rsid w:val="00275592"/>
    <w:rsid w:val="00277AC8"/>
    <w:rsid w:val="00277AD9"/>
    <w:rsid w:val="00281ED7"/>
    <w:rsid w:val="0028630C"/>
    <w:rsid w:val="002917F2"/>
    <w:rsid w:val="00292782"/>
    <w:rsid w:val="0029349C"/>
    <w:rsid w:val="00294DAE"/>
    <w:rsid w:val="0029657D"/>
    <w:rsid w:val="002A0DDC"/>
    <w:rsid w:val="002A1E7E"/>
    <w:rsid w:val="002A272E"/>
    <w:rsid w:val="002A757A"/>
    <w:rsid w:val="002D16A2"/>
    <w:rsid w:val="002D1F76"/>
    <w:rsid w:val="002D20D2"/>
    <w:rsid w:val="002E6446"/>
    <w:rsid w:val="002E76A9"/>
    <w:rsid w:val="00301303"/>
    <w:rsid w:val="00305966"/>
    <w:rsid w:val="00307344"/>
    <w:rsid w:val="003075F7"/>
    <w:rsid w:val="003079B1"/>
    <w:rsid w:val="00312254"/>
    <w:rsid w:val="0031614E"/>
    <w:rsid w:val="00316F89"/>
    <w:rsid w:val="003254E1"/>
    <w:rsid w:val="0032695D"/>
    <w:rsid w:val="00332010"/>
    <w:rsid w:val="00332ABA"/>
    <w:rsid w:val="00333197"/>
    <w:rsid w:val="00335656"/>
    <w:rsid w:val="003358C0"/>
    <w:rsid w:val="00340127"/>
    <w:rsid w:val="00342D80"/>
    <w:rsid w:val="003442FC"/>
    <w:rsid w:val="003479B9"/>
    <w:rsid w:val="0035019E"/>
    <w:rsid w:val="00356776"/>
    <w:rsid w:val="00360BED"/>
    <w:rsid w:val="003612C4"/>
    <w:rsid w:val="00372D9C"/>
    <w:rsid w:val="00373D0C"/>
    <w:rsid w:val="003743CF"/>
    <w:rsid w:val="003755B2"/>
    <w:rsid w:val="00390F1D"/>
    <w:rsid w:val="003923C2"/>
    <w:rsid w:val="0039512D"/>
    <w:rsid w:val="003A0AE3"/>
    <w:rsid w:val="003A103D"/>
    <w:rsid w:val="003A438A"/>
    <w:rsid w:val="003A55D3"/>
    <w:rsid w:val="003A5709"/>
    <w:rsid w:val="003A6F8E"/>
    <w:rsid w:val="003A740A"/>
    <w:rsid w:val="003A74B6"/>
    <w:rsid w:val="003B2841"/>
    <w:rsid w:val="003B4403"/>
    <w:rsid w:val="003B592C"/>
    <w:rsid w:val="003B6719"/>
    <w:rsid w:val="003C29E2"/>
    <w:rsid w:val="003C3C2A"/>
    <w:rsid w:val="003D1BC0"/>
    <w:rsid w:val="003D461F"/>
    <w:rsid w:val="003D5129"/>
    <w:rsid w:val="003E4E69"/>
    <w:rsid w:val="003F05E1"/>
    <w:rsid w:val="003F0D31"/>
    <w:rsid w:val="003F4F76"/>
    <w:rsid w:val="003F7D4F"/>
    <w:rsid w:val="0040267E"/>
    <w:rsid w:val="00404EC7"/>
    <w:rsid w:val="00410FB2"/>
    <w:rsid w:val="0041169C"/>
    <w:rsid w:val="00416756"/>
    <w:rsid w:val="00416FD1"/>
    <w:rsid w:val="00421F4B"/>
    <w:rsid w:val="00427082"/>
    <w:rsid w:val="00430408"/>
    <w:rsid w:val="00432ACE"/>
    <w:rsid w:val="00432D61"/>
    <w:rsid w:val="00432E83"/>
    <w:rsid w:val="00434952"/>
    <w:rsid w:val="00437EC2"/>
    <w:rsid w:val="00441974"/>
    <w:rsid w:val="00442C3F"/>
    <w:rsid w:val="0045067D"/>
    <w:rsid w:val="00454F90"/>
    <w:rsid w:val="004552FC"/>
    <w:rsid w:val="0046141E"/>
    <w:rsid w:val="00463B5E"/>
    <w:rsid w:val="00467164"/>
    <w:rsid w:val="00470415"/>
    <w:rsid w:val="00470D3D"/>
    <w:rsid w:val="00471532"/>
    <w:rsid w:val="0047358E"/>
    <w:rsid w:val="004760A4"/>
    <w:rsid w:val="00477027"/>
    <w:rsid w:val="004802DE"/>
    <w:rsid w:val="00482E3C"/>
    <w:rsid w:val="00490579"/>
    <w:rsid w:val="00496897"/>
    <w:rsid w:val="004A104E"/>
    <w:rsid w:val="004A418B"/>
    <w:rsid w:val="004B2B4D"/>
    <w:rsid w:val="004C1514"/>
    <w:rsid w:val="004C1B96"/>
    <w:rsid w:val="004C4114"/>
    <w:rsid w:val="004C4729"/>
    <w:rsid w:val="004C574C"/>
    <w:rsid w:val="004C5E3D"/>
    <w:rsid w:val="004C7463"/>
    <w:rsid w:val="004D17E9"/>
    <w:rsid w:val="004D751B"/>
    <w:rsid w:val="004E1FAD"/>
    <w:rsid w:val="004E5035"/>
    <w:rsid w:val="004E74BA"/>
    <w:rsid w:val="004F1168"/>
    <w:rsid w:val="004F7C2A"/>
    <w:rsid w:val="00513866"/>
    <w:rsid w:val="005140AF"/>
    <w:rsid w:val="00524818"/>
    <w:rsid w:val="00553448"/>
    <w:rsid w:val="00554942"/>
    <w:rsid w:val="00555682"/>
    <w:rsid w:val="00555C29"/>
    <w:rsid w:val="00556906"/>
    <w:rsid w:val="00556A67"/>
    <w:rsid w:val="00556AF2"/>
    <w:rsid w:val="00560461"/>
    <w:rsid w:val="005625BE"/>
    <w:rsid w:val="00565B27"/>
    <w:rsid w:val="00571655"/>
    <w:rsid w:val="00572DA6"/>
    <w:rsid w:val="00575E52"/>
    <w:rsid w:val="00576DB5"/>
    <w:rsid w:val="0058058F"/>
    <w:rsid w:val="00581780"/>
    <w:rsid w:val="005870EB"/>
    <w:rsid w:val="0059102D"/>
    <w:rsid w:val="0059217D"/>
    <w:rsid w:val="005931E3"/>
    <w:rsid w:val="005967DE"/>
    <w:rsid w:val="005A200C"/>
    <w:rsid w:val="005A33AC"/>
    <w:rsid w:val="005A6C62"/>
    <w:rsid w:val="005A7279"/>
    <w:rsid w:val="005A753B"/>
    <w:rsid w:val="005B1A34"/>
    <w:rsid w:val="005B6F25"/>
    <w:rsid w:val="005B776E"/>
    <w:rsid w:val="005C2B6C"/>
    <w:rsid w:val="005C4954"/>
    <w:rsid w:val="005C6556"/>
    <w:rsid w:val="005C6CD7"/>
    <w:rsid w:val="005C7A64"/>
    <w:rsid w:val="005D0338"/>
    <w:rsid w:val="005D0A36"/>
    <w:rsid w:val="005D178B"/>
    <w:rsid w:val="005D2499"/>
    <w:rsid w:val="005D2A23"/>
    <w:rsid w:val="005E343B"/>
    <w:rsid w:val="005E5173"/>
    <w:rsid w:val="005E710C"/>
    <w:rsid w:val="005F146D"/>
    <w:rsid w:val="005F1470"/>
    <w:rsid w:val="005F271F"/>
    <w:rsid w:val="005F3B92"/>
    <w:rsid w:val="005F457D"/>
    <w:rsid w:val="005F7378"/>
    <w:rsid w:val="00603003"/>
    <w:rsid w:val="00603F8A"/>
    <w:rsid w:val="00605340"/>
    <w:rsid w:val="00606387"/>
    <w:rsid w:val="00607F84"/>
    <w:rsid w:val="006108E7"/>
    <w:rsid w:val="006116A6"/>
    <w:rsid w:val="00614AE4"/>
    <w:rsid w:val="0061536C"/>
    <w:rsid w:val="006157CD"/>
    <w:rsid w:val="0062131E"/>
    <w:rsid w:val="006217C3"/>
    <w:rsid w:val="0062303B"/>
    <w:rsid w:val="00631890"/>
    <w:rsid w:val="006335AA"/>
    <w:rsid w:val="0064015D"/>
    <w:rsid w:val="006470BF"/>
    <w:rsid w:val="006470D6"/>
    <w:rsid w:val="00651FA5"/>
    <w:rsid w:val="006552DA"/>
    <w:rsid w:val="006554C4"/>
    <w:rsid w:val="006572ED"/>
    <w:rsid w:val="006605FC"/>
    <w:rsid w:val="0066118A"/>
    <w:rsid w:val="00664C8E"/>
    <w:rsid w:val="0066595F"/>
    <w:rsid w:val="00673E18"/>
    <w:rsid w:val="00675696"/>
    <w:rsid w:val="006771F5"/>
    <w:rsid w:val="00677E24"/>
    <w:rsid w:val="0068096E"/>
    <w:rsid w:val="00682359"/>
    <w:rsid w:val="006963C4"/>
    <w:rsid w:val="0069696E"/>
    <w:rsid w:val="00696C26"/>
    <w:rsid w:val="006A0C1A"/>
    <w:rsid w:val="006A2CF4"/>
    <w:rsid w:val="006A4220"/>
    <w:rsid w:val="006A6068"/>
    <w:rsid w:val="006C6FB9"/>
    <w:rsid w:val="006C6FE2"/>
    <w:rsid w:val="006D1C72"/>
    <w:rsid w:val="006D4140"/>
    <w:rsid w:val="006D747F"/>
    <w:rsid w:val="006E0407"/>
    <w:rsid w:val="006E37E7"/>
    <w:rsid w:val="006E78A4"/>
    <w:rsid w:val="006F101B"/>
    <w:rsid w:val="006F6D4A"/>
    <w:rsid w:val="006F6E94"/>
    <w:rsid w:val="00704438"/>
    <w:rsid w:val="00705D17"/>
    <w:rsid w:val="00707F3A"/>
    <w:rsid w:val="00710853"/>
    <w:rsid w:val="007113C0"/>
    <w:rsid w:val="0071205D"/>
    <w:rsid w:val="007124AB"/>
    <w:rsid w:val="007161DE"/>
    <w:rsid w:val="00716D0A"/>
    <w:rsid w:val="00717350"/>
    <w:rsid w:val="00720E7A"/>
    <w:rsid w:val="00722C01"/>
    <w:rsid w:val="00723BF5"/>
    <w:rsid w:val="00723DE3"/>
    <w:rsid w:val="00724237"/>
    <w:rsid w:val="00726B82"/>
    <w:rsid w:val="00726F3A"/>
    <w:rsid w:val="00726FDF"/>
    <w:rsid w:val="00736603"/>
    <w:rsid w:val="00742AC0"/>
    <w:rsid w:val="00744891"/>
    <w:rsid w:val="00750040"/>
    <w:rsid w:val="007534B3"/>
    <w:rsid w:val="00754075"/>
    <w:rsid w:val="00754DAE"/>
    <w:rsid w:val="00754FC7"/>
    <w:rsid w:val="00756BE0"/>
    <w:rsid w:val="0075777F"/>
    <w:rsid w:val="00760DC3"/>
    <w:rsid w:val="00776002"/>
    <w:rsid w:val="00782D1D"/>
    <w:rsid w:val="007832BF"/>
    <w:rsid w:val="0078581A"/>
    <w:rsid w:val="0078606B"/>
    <w:rsid w:val="007914AF"/>
    <w:rsid w:val="00794E79"/>
    <w:rsid w:val="0079663D"/>
    <w:rsid w:val="007A2F91"/>
    <w:rsid w:val="007A79D6"/>
    <w:rsid w:val="007B134B"/>
    <w:rsid w:val="007B588A"/>
    <w:rsid w:val="007B58D8"/>
    <w:rsid w:val="007C0875"/>
    <w:rsid w:val="007C2714"/>
    <w:rsid w:val="007D4359"/>
    <w:rsid w:val="007D6414"/>
    <w:rsid w:val="007D7215"/>
    <w:rsid w:val="007E037A"/>
    <w:rsid w:val="007E0A7D"/>
    <w:rsid w:val="007E13EC"/>
    <w:rsid w:val="007E3045"/>
    <w:rsid w:val="007E62DB"/>
    <w:rsid w:val="007E64BA"/>
    <w:rsid w:val="007F4EA2"/>
    <w:rsid w:val="007F526C"/>
    <w:rsid w:val="007F5274"/>
    <w:rsid w:val="007F5CF5"/>
    <w:rsid w:val="007F5FD4"/>
    <w:rsid w:val="008051B5"/>
    <w:rsid w:val="008062DE"/>
    <w:rsid w:val="00811E32"/>
    <w:rsid w:val="00812148"/>
    <w:rsid w:val="008124FD"/>
    <w:rsid w:val="00816E41"/>
    <w:rsid w:val="00821C82"/>
    <w:rsid w:val="00822B27"/>
    <w:rsid w:val="0083043A"/>
    <w:rsid w:val="00832A0D"/>
    <w:rsid w:val="00834330"/>
    <w:rsid w:val="00835380"/>
    <w:rsid w:val="00837123"/>
    <w:rsid w:val="0083741F"/>
    <w:rsid w:val="00837959"/>
    <w:rsid w:val="00843268"/>
    <w:rsid w:val="008458E0"/>
    <w:rsid w:val="008459AB"/>
    <w:rsid w:val="0084799F"/>
    <w:rsid w:val="00847FDD"/>
    <w:rsid w:val="00851756"/>
    <w:rsid w:val="008538AB"/>
    <w:rsid w:val="00856A88"/>
    <w:rsid w:val="00856D6F"/>
    <w:rsid w:val="0086261B"/>
    <w:rsid w:val="00862C29"/>
    <w:rsid w:val="00863875"/>
    <w:rsid w:val="00863A20"/>
    <w:rsid w:val="00864743"/>
    <w:rsid w:val="008662CB"/>
    <w:rsid w:val="0087070E"/>
    <w:rsid w:val="008713EE"/>
    <w:rsid w:val="008727C3"/>
    <w:rsid w:val="008817A6"/>
    <w:rsid w:val="00886153"/>
    <w:rsid w:val="00893EED"/>
    <w:rsid w:val="008A06EF"/>
    <w:rsid w:val="008A23A7"/>
    <w:rsid w:val="008A7651"/>
    <w:rsid w:val="008A76AB"/>
    <w:rsid w:val="008B346B"/>
    <w:rsid w:val="008B5BC7"/>
    <w:rsid w:val="008B626C"/>
    <w:rsid w:val="008C26CA"/>
    <w:rsid w:val="008C526D"/>
    <w:rsid w:val="008D2032"/>
    <w:rsid w:val="008E312E"/>
    <w:rsid w:val="008E33A2"/>
    <w:rsid w:val="008E38D7"/>
    <w:rsid w:val="008E5521"/>
    <w:rsid w:val="008E74B5"/>
    <w:rsid w:val="008E79DB"/>
    <w:rsid w:val="008E7B3A"/>
    <w:rsid w:val="008E7B6F"/>
    <w:rsid w:val="008F0DD4"/>
    <w:rsid w:val="008F1743"/>
    <w:rsid w:val="008F2445"/>
    <w:rsid w:val="008F5F6D"/>
    <w:rsid w:val="00900DE3"/>
    <w:rsid w:val="009012DC"/>
    <w:rsid w:val="00904894"/>
    <w:rsid w:val="00905AE1"/>
    <w:rsid w:val="00905CEC"/>
    <w:rsid w:val="00914704"/>
    <w:rsid w:val="00923785"/>
    <w:rsid w:val="00923AF4"/>
    <w:rsid w:val="00924DAF"/>
    <w:rsid w:val="00926D0E"/>
    <w:rsid w:val="0093181B"/>
    <w:rsid w:val="009318FE"/>
    <w:rsid w:val="009359EC"/>
    <w:rsid w:val="00937A47"/>
    <w:rsid w:val="0094135F"/>
    <w:rsid w:val="0094436D"/>
    <w:rsid w:val="00946BA2"/>
    <w:rsid w:val="00947A31"/>
    <w:rsid w:val="009505B2"/>
    <w:rsid w:val="009612FB"/>
    <w:rsid w:val="0096175A"/>
    <w:rsid w:val="00963815"/>
    <w:rsid w:val="0096744B"/>
    <w:rsid w:val="00975104"/>
    <w:rsid w:val="00975AB0"/>
    <w:rsid w:val="00981431"/>
    <w:rsid w:val="00984BFA"/>
    <w:rsid w:val="00985D5B"/>
    <w:rsid w:val="00987241"/>
    <w:rsid w:val="00990368"/>
    <w:rsid w:val="0099459B"/>
    <w:rsid w:val="009A0CE1"/>
    <w:rsid w:val="009A14E7"/>
    <w:rsid w:val="009A333C"/>
    <w:rsid w:val="009A3A1B"/>
    <w:rsid w:val="009A633B"/>
    <w:rsid w:val="009A6863"/>
    <w:rsid w:val="009A6E7F"/>
    <w:rsid w:val="009B53EB"/>
    <w:rsid w:val="009B76C7"/>
    <w:rsid w:val="009B7749"/>
    <w:rsid w:val="009C2EA5"/>
    <w:rsid w:val="009C366C"/>
    <w:rsid w:val="009C571A"/>
    <w:rsid w:val="009D3361"/>
    <w:rsid w:val="009D3DDD"/>
    <w:rsid w:val="009D3E6A"/>
    <w:rsid w:val="009D5DCD"/>
    <w:rsid w:val="009E0E5C"/>
    <w:rsid w:val="009E152B"/>
    <w:rsid w:val="009E2B35"/>
    <w:rsid w:val="009E3AFC"/>
    <w:rsid w:val="009E3ED4"/>
    <w:rsid w:val="009E4128"/>
    <w:rsid w:val="009E524F"/>
    <w:rsid w:val="009E5560"/>
    <w:rsid w:val="009E65D1"/>
    <w:rsid w:val="009E71C5"/>
    <w:rsid w:val="009F34D1"/>
    <w:rsid w:val="009F3C11"/>
    <w:rsid w:val="009F66E9"/>
    <w:rsid w:val="009F6E1F"/>
    <w:rsid w:val="00A02AB2"/>
    <w:rsid w:val="00A02AE3"/>
    <w:rsid w:val="00A063FD"/>
    <w:rsid w:val="00A06E20"/>
    <w:rsid w:val="00A13737"/>
    <w:rsid w:val="00A14D9B"/>
    <w:rsid w:val="00A16818"/>
    <w:rsid w:val="00A1753B"/>
    <w:rsid w:val="00A17E97"/>
    <w:rsid w:val="00A223C0"/>
    <w:rsid w:val="00A3010A"/>
    <w:rsid w:val="00A303A3"/>
    <w:rsid w:val="00A30CAE"/>
    <w:rsid w:val="00A42D9A"/>
    <w:rsid w:val="00A43129"/>
    <w:rsid w:val="00A471D0"/>
    <w:rsid w:val="00A5265C"/>
    <w:rsid w:val="00A573AB"/>
    <w:rsid w:val="00A609F8"/>
    <w:rsid w:val="00A703FE"/>
    <w:rsid w:val="00A716F9"/>
    <w:rsid w:val="00A74162"/>
    <w:rsid w:val="00A74FFB"/>
    <w:rsid w:val="00A84A0B"/>
    <w:rsid w:val="00A875E0"/>
    <w:rsid w:val="00A87D48"/>
    <w:rsid w:val="00A9252E"/>
    <w:rsid w:val="00A92799"/>
    <w:rsid w:val="00A930E0"/>
    <w:rsid w:val="00A94287"/>
    <w:rsid w:val="00A95070"/>
    <w:rsid w:val="00A950FF"/>
    <w:rsid w:val="00A9563D"/>
    <w:rsid w:val="00AA22C7"/>
    <w:rsid w:val="00AA346F"/>
    <w:rsid w:val="00AA3BAB"/>
    <w:rsid w:val="00AB14AC"/>
    <w:rsid w:val="00AB78E2"/>
    <w:rsid w:val="00AC27E6"/>
    <w:rsid w:val="00AC4098"/>
    <w:rsid w:val="00AD104E"/>
    <w:rsid w:val="00AE0DB6"/>
    <w:rsid w:val="00AE2A62"/>
    <w:rsid w:val="00AE32E9"/>
    <w:rsid w:val="00AE3EDD"/>
    <w:rsid w:val="00AE6D4F"/>
    <w:rsid w:val="00AF2209"/>
    <w:rsid w:val="00AF4FAB"/>
    <w:rsid w:val="00B14D3A"/>
    <w:rsid w:val="00B24E38"/>
    <w:rsid w:val="00B27CD7"/>
    <w:rsid w:val="00B3048A"/>
    <w:rsid w:val="00B32924"/>
    <w:rsid w:val="00B347E2"/>
    <w:rsid w:val="00B35B8F"/>
    <w:rsid w:val="00B40C18"/>
    <w:rsid w:val="00B42AD0"/>
    <w:rsid w:val="00B44833"/>
    <w:rsid w:val="00B53654"/>
    <w:rsid w:val="00B54049"/>
    <w:rsid w:val="00B61C96"/>
    <w:rsid w:val="00B6453F"/>
    <w:rsid w:val="00B66831"/>
    <w:rsid w:val="00B66CA0"/>
    <w:rsid w:val="00B7314A"/>
    <w:rsid w:val="00B737A8"/>
    <w:rsid w:val="00B74F35"/>
    <w:rsid w:val="00B81236"/>
    <w:rsid w:val="00B81C2D"/>
    <w:rsid w:val="00B87073"/>
    <w:rsid w:val="00B8713C"/>
    <w:rsid w:val="00B87508"/>
    <w:rsid w:val="00B95FAD"/>
    <w:rsid w:val="00BA2660"/>
    <w:rsid w:val="00BA5CAE"/>
    <w:rsid w:val="00BA64F5"/>
    <w:rsid w:val="00BB47EB"/>
    <w:rsid w:val="00BC26A1"/>
    <w:rsid w:val="00BC302F"/>
    <w:rsid w:val="00BC3B8A"/>
    <w:rsid w:val="00BC6747"/>
    <w:rsid w:val="00BC6B59"/>
    <w:rsid w:val="00BD2291"/>
    <w:rsid w:val="00BD5523"/>
    <w:rsid w:val="00BE2B49"/>
    <w:rsid w:val="00BE3436"/>
    <w:rsid w:val="00BE343E"/>
    <w:rsid w:val="00BE6AE0"/>
    <w:rsid w:val="00BF065D"/>
    <w:rsid w:val="00BF20F7"/>
    <w:rsid w:val="00BF41EC"/>
    <w:rsid w:val="00BF5681"/>
    <w:rsid w:val="00BF74ED"/>
    <w:rsid w:val="00C00FF6"/>
    <w:rsid w:val="00C06797"/>
    <w:rsid w:val="00C105A2"/>
    <w:rsid w:val="00C10B58"/>
    <w:rsid w:val="00C10C5D"/>
    <w:rsid w:val="00C11B60"/>
    <w:rsid w:val="00C131D0"/>
    <w:rsid w:val="00C13C2B"/>
    <w:rsid w:val="00C13CFF"/>
    <w:rsid w:val="00C15014"/>
    <w:rsid w:val="00C17888"/>
    <w:rsid w:val="00C32E9A"/>
    <w:rsid w:val="00C335FA"/>
    <w:rsid w:val="00C34FA0"/>
    <w:rsid w:val="00C36BF7"/>
    <w:rsid w:val="00C3723C"/>
    <w:rsid w:val="00C40550"/>
    <w:rsid w:val="00C41042"/>
    <w:rsid w:val="00C525E1"/>
    <w:rsid w:val="00C533A7"/>
    <w:rsid w:val="00C5397E"/>
    <w:rsid w:val="00C5430B"/>
    <w:rsid w:val="00C61054"/>
    <w:rsid w:val="00C73FEC"/>
    <w:rsid w:val="00C741F4"/>
    <w:rsid w:val="00C77490"/>
    <w:rsid w:val="00C800DE"/>
    <w:rsid w:val="00C80542"/>
    <w:rsid w:val="00C8097A"/>
    <w:rsid w:val="00C827CE"/>
    <w:rsid w:val="00C84790"/>
    <w:rsid w:val="00C84CC5"/>
    <w:rsid w:val="00C90E00"/>
    <w:rsid w:val="00C92161"/>
    <w:rsid w:val="00C95C0A"/>
    <w:rsid w:val="00CA1BAD"/>
    <w:rsid w:val="00CA1E88"/>
    <w:rsid w:val="00CA2E41"/>
    <w:rsid w:val="00CA3D6F"/>
    <w:rsid w:val="00CA4FCF"/>
    <w:rsid w:val="00CA656E"/>
    <w:rsid w:val="00CA7526"/>
    <w:rsid w:val="00CB2ACA"/>
    <w:rsid w:val="00CB4453"/>
    <w:rsid w:val="00CB5A42"/>
    <w:rsid w:val="00CC47BB"/>
    <w:rsid w:val="00CC588E"/>
    <w:rsid w:val="00CC70BF"/>
    <w:rsid w:val="00CC71FB"/>
    <w:rsid w:val="00CD1C3D"/>
    <w:rsid w:val="00CD20E1"/>
    <w:rsid w:val="00CD7174"/>
    <w:rsid w:val="00CD78FA"/>
    <w:rsid w:val="00CE044B"/>
    <w:rsid w:val="00CE37C1"/>
    <w:rsid w:val="00CE6301"/>
    <w:rsid w:val="00CE79C7"/>
    <w:rsid w:val="00CF0D00"/>
    <w:rsid w:val="00CF74EF"/>
    <w:rsid w:val="00D072FF"/>
    <w:rsid w:val="00D12344"/>
    <w:rsid w:val="00D13F4E"/>
    <w:rsid w:val="00D149DE"/>
    <w:rsid w:val="00D16C9D"/>
    <w:rsid w:val="00D20D86"/>
    <w:rsid w:val="00D217C9"/>
    <w:rsid w:val="00D21C0B"/>
    <w:rsid w:val="00D270FD"/>
    <w:rsid w:val="00D30A65"/>
    <w:rsid w:val="00D30A9D"/>
    <w:rsid w:val="00D3118E"/>
    <w:rsid w:val="00D31733"/>
    <w:rsid w:val="00D31984"/>
    <w:rsid w:val="00D33CB1"/>
    <w:rsid w:val="00D34569"/>
    <w:rsid w:val="00D418E5"/>
    <w:rsid w:val="00D43657"/>
    <w:rsid w:val="00D45C32"/>
    <w:rsid w:val="00D46553"/>
    <w:rsid w:val="00D528E1"/>
    <w:rsid w:val="00D5516C"/>
    <w:rsid w:val="00D559FA"/>
    <w:rsid w:val="00D61876"/>
    <w:rsid w:val="00D61904"/>
    <w:rsid w:val="00D74CDE"/>
    <w:rsid w:val="00D75B54"/>
    <w:rsid w:val="00D75E90"/>
    <w:rsid w:val="00D76EA5"/>
    <w:rsid w:val="00D80C70"/>
    <w:rsid w:val="00D8356E"/>
    <w:rsid w:val="00D8422E"/>
    <w:rsid w:val="00D90C6B"/>
    <w:rsid w:val="00D92743"/>
    <w:rsid w:val="00DA77AC"/>
    <w:rsid w:val="00DB26D8"/>
    <w:rsid w:val="00DC2454"/>
    <w:rsid w:val="00DC52CA"/>
    <w:rsid w:val="00DC67EA"/>
    <w:rsid w:val="00DD1E91"/>
    <w:rsid w:val="00DD2DAD"/>
    <w:rsid w:val="00DD35E7"/>
    <w:rsid w:val="00DD6FBD"/>
    <w:rsid w:val="00DE0E9B"/>
    <w:rsid w:val="00DE1221"/>
    <w:rsid w:val="00DE1C02"/>
    <w:rsid w:val="00DE2DBF"/>
    <w:rsid w:val="00DF7762"/>
    <w:rsid w:val="00E03675"/>
    <w:rsid w:val="00E03CB2"/>
    <w:rsid w:val="00E03ED1"/>
    <w:rsid w:val="00E131F1"/>
    <w:rsid w:val="00E14483"/>
    <w:rsid w:val="00E23432"/>
    <w:rsid w:val="00E25709"/>
    <w:rsid w:val="00E27D1F"/>
    <w:rsid w:val="00E305E9"/>
    <w:rsid w:val="00E333A5"/>
    <w:rsid w:val="00E336C7"/>
    <w:rsid w:val="00E346A4"/>
    <w:rsid w:val="00E3567A"/>
    <w:rsid w:val="00E37295"/>
    <w:rsid w:val="00E4187B"/>
    <w:rsid w:val="00E445B9"/>
    <w:rsid w:val="00E457FD"/>
    <w:rsid w:val="00E45DA8"/>
    <w:rsid w:val="00E47028"/>
    <w:rsid w:val="00E50821"/>
    <w:rsid w:val="00E53E84"/>
    <w:rsid w:val="00E56DC2"/>
    <w:rsid w:val="00E6262C"/>
    <w:rsid w:val="00E678F4"/>
    <w:rsid w:val="00E76B94"/>
    <w:rsid w:val="00E77E6B"/>
    <w:rsid w:val="00E80607"/>
    <w:rsid w:val="00E83D2F"/>
    <w:rsid w:val="00E93BB3"/>
    <w:rsid w:val="00E93D43"/>
    <w:rsid w:val="00E95A8A"/>
    <w:rsid w:val="00EA7019"/>
    <w:rsid w:val="00EB3A48"/>
    <w:rsid w:val="00EB5041"/>
    <w:rsid w:val="00EB6803"/>
    <w:rsid w:val="00EC40BE"/>
    <w:rsid w:val="00EC66EC"/>
    <w:rsid w:val="00EC78A6"/>
    <w:rsid w:val="00ED2229"/>
    <w:rsid w:val="00EE02B6"/>
    <w:rsid w:val="00EE150C"/>
    <w:rsid w:val="00EE6393"/>
    <w:rsid w:val="00EE681D"/>
    <w:rsid w:val="00EF5E45"/>
    <w:rsid w:val="00F0001B"/>
    <w:rsid w:val="00F024F2"/>
    <w:rsid w:val="00F04253"/>
    <w:rsid w:val="00F04B33"/>
    <w:rsid w:val="00F076C0"/>
    <w:rsid w:val="00F123F7"/>
    <w:rsid w:val="00F12535"/>
    <w:rsid w:val="00F12A6F"/>
    <w:rsid w:val="00F158F6"/>
    <w:rsid w:val="00F17348"/>
    <w:rsid w:val="00F21E87"/>
    <w:rsid w:val="00F2375B"/>
    <w:rsid w:val="00F3034B"/>
    <w:rsid w:val="00F3183D"/>
    <w:rsid w:val="00F33022"/>
    <w:rsid w:val="00F33A65"/>
    <w:rsid w:val="00F354FE"/>
    <w:rsid w:val="00F45710"/>
    <w:rsid w:val="00F4577F"/>
    <w:rsid w:val="00F45F6B"/>
    <w:rsid w:val="00F47E7E"/>
    <w:rsid w:val="00F52121"/>
    <w:rsid w:val="00F56296"/>
    <w:rsid w:val="00F61025"/>
    <w:rsid w:val="00F62360"/>
    <w:rsid w:val="00F63E34"/>
    <w:rsid w:val="00F64417"/>
    <w:rsid w:val="00F66AB5"/>
    <w:rsid w:val="00F67A60"/>
    <w:rsid w:val="00F70E17"/>
    <w:rsid w:val="00F71C8A"/>
    <w:rsid w:val="00F72B61"/>
    <w:rsid w:val="00F83FC5"/>
    <w:rsid w:val="00F86AF1"/>
    <w:rsid w:val="00F86C5B"/>
    <w:rsid w:val="00F95FC5"/>
    <w:rsid w:val="00F97ADA"/>
    <w:rsid w:val="00FA0570"/>
    <w:rsid w:val="00FA1C51"/>
    <w:rsid w:val="00FA20BC"/>
    <w:rsid w:val="00FA3D21"/>
    <w:rsid w:val="00FA41E4"/>
    <w:rsid w:val="00FA5348"/>
    <w:rsid w:val="00FA6AB1"/>
    <w:rsid w:val="00FA7BAB"/>
    <w:rsid w:val="00FB3351"/>
    <w:rsid w:val="00FB3498"/>
    <w:rsid w:val="00FB3719"/>
    <w:rsid w:val="00FB3E0B"/>
    <w:rsid w:val="00FB5E27"/>
    <w:rsid w:val="00FB6090"/>
    <w:rsid w:val="00FB6252"/>
    <w:rsid w:val="00FB644C"/>
    <w:rsid w:val="00FB7379"/>
    <w:rsid w:val="00FC06CC"/>
    <w:rsid w:val="00FC7DE8"/>
    <w:rsid w:val="00FD3A9D"/>
    <w:rsid w:val="00FD4421"/>
    <w:rsid w:val="00FE0C2E"/>
    <w:rsid w:val="00FE1873"/>
    <w:rsid w:val="00FE483F"/>
    <w:rsid w:val="00FF1815"/>
    <w:rsid w:val="00FF31AE"/>
    <w:rsid w:val="00FF4F35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B4E5"/>
  <w15:chartTrackingRefBased/>
  <w15:docId w15:val="{5EFE9462-A7F9-4C52-A9E1-ABAB2FD6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29"/>
    <w:pPr>
      <w:widowControl w:val="0"/>
      <w:suppressAutoHyphens/>
      <w:autoSpaceDN w:val="0"/>
      <w:spacing w:after="200"/>
      <w:ind w:firstLine="567"/>
      <w:jc w:val="both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Standard"/>
    <w:next w:val="Textbody"/>
    <w:pPr>
      <w:keepNext/>
      <w:keepLines/>
      <w:widowControl w:val="0"/>
      <w:spacing w:before="360" w:after="60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Standard"/>
    <w:next w:val="Textbody"/>
    <w:pPr>
      <w:widowControl w:val="0"/>
      <w:tabs>
        <w:tab w:val="left" w:pos="397"/>
      </w:tabs>
      <w:spacing w:before="120" w:after="0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Standard"/>
    <w:next w:val="Textbody"/>
    <w:pPr>
      <w:widowControl w:val="0"/>
      <w:spacing w:before="60" w:after="0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Standard"/>
    <w:next w:val="Textbody"/>
    <w:pPr>
      <w:widowControl w:val="0"/>
      <w:spacing w:before="60" w:after="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Standard"/>
    <w:next w:val="Textbody"/>
    <w:pPr>
      <w:widowControl w:val="0"/>
      <w:spacing w:before="60" w:after="0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Standard"/>
    <w:next w:val="Textbody"/>
    <w:pPr>
      <w:widowControl w:val="0"/>
      <w:spacing w:before="60" w:after="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Standard"/>
    <w:next w:val="Textbody"/>
    <w:pPr>
      <w:widowControl w:val="0"/>
      <w:spacing w:before="60" w:after="0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60" w:after="0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  <w:autoSpaceDN w:val="0"/>
      <w:spacing w:after="200"/>
      <w:ind w:firstLine="567"/>
      <w:jc w:val="both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aliases w:val="Список точки"/>
    <w:basedOn w:val="Standard"/>
    <w:link w:val="a6"/>
    <w:uiPriority w:val="34"/>
    <w:qFormat/>
    <w:pPr>
      <w:ind w:left="720"/>
    </w:pPr>
  </w:style>
  <w:style w:type="paragraph" w:styleId="a7">
    <w:name w:val="Normal (Web)"/>
    <w:aliases w:val="Normal (Web)"/>
    <w:basedOn w:val="Standard"/>
    <w:uiPriority w:val="99"/>
    <w:pPr>
      <w:spacing w:before="120"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uppressAutoHyphens/>
      <w:autoSpaceDN w:val="0"/>
      <w:ind w:firstLine="567"/>
      <w:jc w:val="both"/>
      <w:textAlignment w:val="baseline"/>
    </w:pPr>
    <w:rPr>
      <w:rFonts w:ascii="Times New Roman" w:hAnsi="Times New Roman" w:cs="Times New Roman"/>
      <w:color w:val="000000"/>
      <w:kern w:val="3"/>
      <w:sz w:val="24"/>
      <w:szCs w:val="24"/>
      <w:lang w:eastAsia="en-US"/>
    </w:rPr>
  </w:style>
  <w:style w:type="paragraph" w:customStyle="1" w:styleId="10">
    <w:name w:val="Текст 1"/>
    <w:basedOn w:val="2"/>
    <w:pPr>
      <w:tabs>
        <w:tab w:val="clear" w:pos="397"/>
        <w:tab w:val="left" w:pos="1192"/>
      </w:tabs>
      <w:spacing w:after="60"/>
      <w:ind w:left="596" w:hanging="454"/>
    </w:pPr>
    <w:rPr>
      <w:b/>
      <w:szCs w:val="22"/>
    </w:rPr>
  </w:style>
  <w:style w:type="paragraph" w:styleId="30">
    <w:name w:val="List 3"/>
    <w:basedOn w:val="20"/>
    <w:pPr>
      <w:widowControl w:val="0"/>
      <w:spacing w:before="60" w:after="0"/>
      <w:ind w:left="2880" w:hanging="360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List 2"/>
    <w:basedOn w:val="Standard"/>
    <w:pPr>
      <w:spacing w:after="120"/>
      <w:ind w:left="566" w:hanging="283"/>
    </w:pPr>
  </w:style>
  <w:style w:type="paragraph" w:styleId="a8">
    <w:name w:val="footnote text"/>
    <w:basedOn w:val="Standard"/>
    <w:pPr>
      <w:spacing w:after="0"/>
    </w:pPr>
    <w:rPr>
      <w:sz w:val="20"/>
      <w:szCs w:val="20"/>
    </w:rPr>
  </w:style>
  <w:style w:type="paragraph" w:styleId="a9">
    <w:name w:val="Balloon Text"/>
    <w:basedOn w:val="Standard"/>
    <w:pPr>
      <w:spacing w:after="0"/>
    </w:pPr>
    <w:rPr>
      <w:rFonts w:ascii="Tahoma" w:hAnsi="Tahoma"/>
      <w:sz w:val="16"/>
      <w:szCs w:val="16"/>
    </w:rPr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/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  <w:spacing w:after="0"/>
    </w:pPr>
  </w:style>
  <w:style w:type="paragraph" w:customStyle="1" w:styleId="31">
    <w:name w:val="Титульный лист 3"/>
    <w:basedOn w:val="Standard"/>
    <w:pPr>
      <w:widowControl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Текст 2"/>
    <w:basedOn w:val="3"/>
    <w:pPr>
      <w:ind w:left="993" w:hanging="567"/>
    </w:pPr>
  </w:style>
  <w:style w:type="paragraph" w:customStyle="1" w:styleId="ac">
    <w:name w:val="заголовок (ПОдразделыазделы)"/>
    <w:basedOn w:val="Standard"/>
    <w:pPr>
      <w:tabs>
        <w:tab w:val="left" w:pos="68"/>
      </w:tabs>
      <w:spacing w:after="0"/>
      <w:ind w:left="34" w:firstLine="361"/>
    </w:pPr>
    <w:rPr>
      <w:rFonts w:eastAsia="Times New Roman" w:cs="Calibri"/>
      <w:bCs/>
      <w:sz w:val="20"/>
      <w:szCs w:val="20"/>
      <w:lang w:eastAsia="ru-RU"/>
    </w:rPr>
  </w:style>
  <w:style w:type="paragraph" w:customStyle="1" w:styleId="Contents2">
    <w:name w:val="Contents 2"/>
    <w:basedOn w:val="Standard"/>
    <w:pPr>
      <w:widowControl w:val="0"/>
      <w:tabs>
        <w:tab w:val="right" w:leader="dot" w:pos="9922"/>
      </w:tabs>
      <w:spacing w:before="60" w:after="0"/>
      <w:ind w:left="283" w:firstLine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1">
    <w:name w:val="Список 1"/>
    <w:pPr>
      <w:widowControl w:val="0"/>
      <w:tabs>
        <w:tab w:val="left" w:pos="1702"/>
      </w:tabs>
      <w:suppressAutoHyphens/>
      <w:autoSpaceDN w:val="0"/>
      <w:spacing w:before="60"/>
      <w:ind w:left="851" w:hanging="425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ad">
    <w:name w:val="List Bullet"/>
    <w:basedOn w:val="Standard"/>
    <w:pPr>
      <w:tabs>
        <w:tab w:val="left" w:pos="3064"/>
      </w:tabs>
      <w:ind w:left="1532" w:hanging="397"/>
    </w:pPr>
  </w:style>
  <w:style w:type="paragraph" w:customStyle="1" w:styleId="Textbodyindent">
    <w:name w:val="Text body indent"/>
    <w:basedOn w:val="Standard"/>
    <w:pPr>
      <w:widowControl w:val="0"/>
      <w:spacing w:after="0"/>
      <w:ind w:left="283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Standard"/>
    <w:pPr>
      <w:tabs>
        <w:tab w:val="left" w:pos="8680"/>
      </w:tabs>
      <w:spacing w:after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Standard"/>
    <w:rPr>
      <w:sz w:val="20"/>
      <w:szCs w:val="20"/>
    </w:rPr>
  </w:style>
  <w:style w:type="paragraph" w:styleId="af">
    <w:name w:val="annotation subject"/>
    <w:basedOn w:val="ae"/>
    <w:rPr>
      <w:b/>
      <w:bCs/>
    </w:rPr>
  </w:style>
  <w:style w:type="paragraph" w:customStyle="1" w:styleId="Contents1">
    <w:name w:val="Contents 1"/>
    <w:basedOn w:val="Standard"/>
    <w:pPr>
      <w:tabs>
        <w:tab w:val="left" w:pos="851"/>
        <w:tab w:val="right" w:leader="dot" w:pos="9627"/>
      </w:tabs>
      <w:spacing w:after="100"/>
      <w:ind w:firstLine="0"/>
    </w:pPr>
  </w:style>
  <w:style w:type="paragraph" w:styleId="af0">
    <w:name w:val="endnote text"/>
    <w:basedOn w:val="Standard"/>
    <w:pPr>
      <w:spacing w:after="0"/>
    </w:pPr>
    <w:rPr>
      <w:sz w:val="20"/>
      <w:szCs w:val="20"/>
    </w:rPr>
  </w:style>
  <w:style w:type="paragraph" w:customStyle="1" w:styleId="ConsPlusNormal">
    <w:name w:val="ConsPlusNormal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en-US"/>
    </w:rPr>
  </w:style>
  <w:style w:type="paragraph" w:customStyle="1" w:styleId="TableParagraph">
    <w:name w:val="Table Paragraph"/>
    <w:basedOn w:val="Standard"/>
    <w:pPr>
      <w:widowControl w:val="0"/>
      <w:spacing w:after="0"/>
      <w:ind w:firstLine="0"/>
      <w:jc w:val="left"/>
    </w:pPr>
    <w:rPr>
      <w:rFonts w:ascii="Arial Narrow" w:eastAsia="Arial Narrow" w:hAnsi="Arial Narrow" w:cs="Arial Narrow"/>
      <w:lang w:val="en-US"/>
    </w:rPr>
  </w:style>
  <w:style w:type="paragraph" w:customStyle="1" w:styleId="af1">
    <w:name w:val="ОБычный"/>
    <w:basedOn w:val="Standard"/>
    <w:qFormat/>
    <w:pPr>
      <w:widowControl w:val="0"/>
      <w:spacing w:before="60" w:after="0" w:line="312" w:lineRule="auto"/>
      <w:ind w:firstLine="709"/>
    </w:pPr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kern w:val="3"/>
      <w:sz w:val="28"/>
      <w:szCs w:val="24"/>
      <w:lang w:eastAsia="ru-RU"/>
    </w:r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Текст 1 Знак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2">
    <w:name w:val="Текст сноски Знак"/>
    <w:rPr>
      <w:sz w:val="20"/>
      <w:szCs w:val="20"/>
    </w:rPr>
  </w:style>
  <w:style w:type="character" w:styleId="af3">
    <w:name w:val="footnote reference"/>
    <w:rPr>
      <w:rFonts w:cs="Times New Roman"/>
      <w:position w:val="0"/>
      <w:sz w:val="20"/>
      <w:vertAlign w:val="superscript"/>
    </w:rPr>
  </w:style>
  <w:style w:type="character" w:customStyle="1" w:styleId="af4">
    <w:name w:val="Текст выноски Знак"/>
    <w:rPr>
      <w:rFonts w:ascii="Tahoma" w:hAnsi="Tahoma" w:cs="Tahoma"/>
      <w:sz w:val="16"/>
      <w:szCs w:val="16"/>
    </w:rPr>
  </w:style>
  <w:style w:type="character" w:customStyle="1" w:styleId="af5">
    <w:name w:val="Верхний колонтитул Знак"/>
    <w:basedOn w:val="a0"/>
    <w:uiPriority w:val="99"/>
  </w:style>
  <w:style w:type="character" w:customStyle="1" w:styleId="af6">
    <w:name w:val="Нижний колонтитул Знак"/>
    <w:basedOn w:val="a0"/>
  </w:style>
  <w:style w:type="character" w:customStyle="1" w:styleId="af7">
    <w:name w:val="Основной текст с отступом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  <w:basedOn w:val="a0"/>
  </w:style>
  <w:style w:type="character" w:styleId="af8">
    <w:name w:val="annotation reference"/>
    <w:rPr>
      <w:sz w:val="16"/>
      <w:szCs w:val="16"/>
    </w:rPr>
  </w:style>
  <w:style w:type="character" w:customStyle="1" w:styleId="af9">
    <w:name w:val="Текст примечания Знак"/>
    <w:rPr>
      <w:sz w:val="20"/>
      <w:szCs w:val="20"/>
    </w:rPr>
  </w:style>
  <w:style w:type="character" w:customStyle="1" w:styleId="afa">
    <w:name w:val="Тема примечания Знак"/>
    <w:rPr>
      <w:b/>
      <w:bCs/>
      <w:sz w:val="20"/>
      <w:szCs w:val="20"/>
    </w:rPr>
  </w:style>
  <w:style w:type="character" w:styleId="afb">
    <w:name w:val="Book Title"/>
    <w:rPr>
      <w:b/>
      <w:bCs/>
      <w:smallCaps/>
      <w:spacing w:val="5"/>
    </w:rPr>
  </w:style>
  <w:style w:type="character" w:customStyle="1" w:styleId="afc">
    <w:name w:val="Текст концевой сноски Знак"/>
    <w:rPr>
      <w:sz w:val="20"/>
      <w:szCs w:val="20"/>
    </w:rPr>
  </w:style>
  <w:style w:type="character" w:styleId="afd">
    <w:name w:val="endnote reference"/>
    <w:rPr>
      <w:position w:val="0"/>
      <w:vertAlign w:val="superscript"/>
    </w:rPr>
  </w:style>
  <w:style w:type="character" w:customStyle="1" w:styleId="afe">
    <w:name w:val="ОБычный Знак"/>
    <w:rPr>
      <w:rFonts w:ascii="Times New Roman" w:eastAsia="Arial Unicode MS" w:hAnsi="Times New Roman" w:cs="Times New Roman"/>
      <w:sz w:val="24"/>
      <w:szCs w:val="24"/>
      <w:lang w:eastAsia="ru-RU" w:bidi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/>
      <w:i/>
      <w:color w:val="00000A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</w:style>
  <w:style w:type="character" w:customStyle="1" w:styleId="ListLabel5">
    <w:name w:val="ListLabel 5"/>
    <w:rPr>
      <w:rFonts w:eastAsia="Arial Narrow" w:cs="Arial Narrow"/>
      <w:w w:val="100"/>
      <w:sz w:val="22"/>
      <w:szCs w:val="22"/>
    </w:rPr>
  </w:style>
  <w:style w:type="character" w:customStyle="1" w:styleId="ListLabel6">
    <w:name w:val="ListLabel 6"/>
    <w:rPr>
      <w:rFonts w:eastAsia="Symbol" w:cs="Symbol"/>
      <w:w w:val="100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37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36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character" w:customStyle="1" w:styleId="aff">
    <w:name w:val="Основной текст_"/>
    <w:link w:val="14"/>
    <w:rsid w:val="00DB26D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f"/>
    <w:rsid w:val="00DB26D8"/>
    <w:pPr>
      <w:shd w:val="clear" w:color="auto" w:fill="FFFFFF"/>
      <w:suppressAutoHyphens w:val="0"/>
      <w:autoSpaceDN/>
      <w:spacing w:before="1920" w:after="0" w:line="274" w:lineRule="exact"/>
      <w:ind w:hanging="680"/>
      <w:jc w:val="left"/>
      <w:textAlignment w:val="auto"/>
    </w:pPr>
    <w:rPr>
      <w:rFonts w:ascii="Arial" w:eastAsia="Arial" w:hAnsi="Arial" w:cs="Times New Roman"/>
      <w:kern w:val="0"/>
      <w:sz w:val="23"/>
      <w:szCs w:val="23"/>
      <w:lang w:val="x-none" w:eastAsia="x-none"/>
    </w:rPr>
  </w:style>
  <w:style w:type="character" w:styleId="aff0">
    <w:name w:val="Hyperlink"/>
    <w:uiPriority w:val="99"/>
    <w:unhideWhenUsed/>
    <w:rsid w:val="00F67A60"/>
    <w:rPr>
      <w:color w:val="0563C1"/>
      <w:u w:val="single"/>
    </w:rPr>
  </w:style>
  <w:style w:type="character" w:customStyle="1" w:styleId="15">
    <w:name w:val="Неразрешенное упоминание1"/>
    <w:uiPriority w:val="99"/>
    <w:semiHidden/>
    <w:unhideWhenUsed/>
    <w:rsid w:val="003A740A"/>
    <w:rPr>
      <w:color w:val="605E5C"/>
      <w:shd w:val="clear" w:color="auto" w:fill="E1DFDD"/>
    </w:rPr>
  </w:style>
  <w:style w:type="character" w:customStyle="1" w:styleId="fontstyle01">
    <w:name w:val="fontstyle01"/>
    <w:rsid w:val="000549E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6963C4"/>
  </w:style>
  <w:style w:type="character" w:customStyle="1" w:styleId="a6">
    <w:name w:val="Абзац списка Знак"/>
    <w:aliases w:val="Список точки Знак"/>
    <w:link w:val="a5"/>
    <w:uiPriority w:val="34"/>
    <w:locked/>
    <w:rsid w:val="00ED2229"/>
    <w:rPr>
      <w:kern w:val="3"/>
      <w:sz w:val="22"/>
      <w:szCs w:val="22"/>
      <w:lang w:eastAsia="en-US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612FB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35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ate=24.09.2024&amp;dst=10014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FCB0-5E34-4E8C-9FFB-2290BF62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4299</Words>
  <Characters>24509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 Anatoliy</dc:creator>
  <cp:keywords>Письмо</cp:keywords>
  <dc:description/>
  <cp:lastModifiedBy>Пользователь</cp:lastModifiedBy>
  <cp:revision>8</cp:revision>
  <cp:lastPrinted>2025-04-01T06:18:00Z</cp:lastPrinted>
  <dcterms:created xsi:type="dcterms:W3CDTF">2025-03-31T11:34:00Z</dcterms:created>
  <dcterms:modified xsi:type="dcterms:W3CDTF">2025-04-01T06:18:00Z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